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Arial" w:hAnsi="Arial" w:cs="Arial"/>
          <w:sz w:val="22"/>
        </w:rPr>
      </w:pPr>
      <w:r>
        <w:rPr>
          <w:rFonts w:cs="Arial" w:ascii="Arial" w:hAnsi="Arial"/>
          <w:sz w:val="22"/>
        </w:rPr>
        <w:t>UNITED STATES OF AMERICA</w:t>
      </w:r>
    </w:p>
    <w:p>
      <w:pPr>
        <w:pStyle w:val="Normal"/>
        <w:jc w:val="center"/>
        <w:rPr>
          <w:rFonts w:ascii="Arial" w:hAnsi="Arial" w:cs="Arial"/>
          <w:b/>
          <w:sz w:val="22"/>
        </w:rPr>
      </w:pPr>
      <w:r>
        <w:rPr>
          <w:rFonts w:cs="Arial" w:ascii="Arial" w:hAnsi="Arial"/>
          <w:b/>
          <w:sz w:val="22"/>
        </w:rPr>
        <w:t>BEFORE THE</w:t>
      </w:r>
    </w:p>
    <w:p>
      <w:pPr>
        <w:pStyle w:val="Heading3"/>
        <w:rPr>
          <w:rFonts w:ascii="Arial" w:hAnsi="Arial" w:cs="Arial"/>
          <w:sz w:val="22"/>
        </w:rPr>
      </w:pPr>
      <w:r>
        <w:rPr>
          <w:rFonts w:cs="Arial" w:ascii="Arial" w:hAnsi="Arial"/>
          <w:sz w:val="22"/>
        </w:rPr>
        <w:t>FEDERAL ENERGY REGULATORY COMMISSION</w:t>
      </w:r>
    </w:p>
    <w:p>
      <w:pPr>
        <w:pStyle w:val="Normal"/>
        <w:tabs>
          <w:tab w:val="left" w:pos="720" w:leader="none"/>
        </w:tabs>
        <w:autoSpaceDE w:val="false"/>
        <w:rPr>
          <w:rFonts w:ascii="Arial" w:hAnsi="Arial" w:cs="Arial"/>
          <w:sz w:val="22"/>
        </w:rPr>
      </w:pPr>
      <w:r>
        <w:rPr>
          <w:rFonts w:cs="Arial" w:ascii="Arial" w:hAnsi="Arial"/>
          <w:sz w:val="22"/>
        </w:rPr>
      </w:r>
    </w:p>
    <w:p>
      <w:pPr>
        <w:pStyle w:val="Normal"/>
        <w:tabs>
          <w:tab w:val="left" w:pos="720" w:leader="none"/>
        </w:tabs>
        <w:autoSpaceDE w:val="false"/>
        <w:rPr>
          <w:rFonts w:ascii="Arial" w:hAnsi="Arial" w:cs="Arial"/>
          <w:sz w:val="22"/>
        </w:rPr>
      </w:pPr>
      <w:r>
        <w:rPr>
          <w:rFonts w:cs="Arial" w:ascii="Arial" w:hAnsi="Arial"/>
          <w:sz w:val="22"/>
        </w:rPr>
      </w:r>
    </w:p>
    <w:p>
      <w:pPr>
        <w:pStyle w:val="Normal"/>
        <w:tabs>
          <w:tab w:val="left" w:pos="720" w:leader="none"/>
        </w:tabs>
        <w:autoSpaceDE w:val="false"/>
        <w:rPr>
          <w:rFonts w:ascii="Arial" w:hAnsi="Arial" w:cs="Arial"/>
          <w:sz w:val="22"/>
        </w:rPr>
      </w:pPr>
      <w:r>
        <w:rPr>
          <w:rFonts w:cs="Arial" w:ascii="Arial" w:hAnsi="Arial"/>
          <w:sz w:val="22"/>
        </w:rPr>
        <w:t>___________________________________</w:t>
      </w:r>
    </w:p>
    <w:p>
      <w:pPr>
        <w:pStyle w:val="Normal"/>
        <w:tabs>
          <w:tab w:val="left" w:pos="720" w:leader="none"/>
        </w:tabs>
        <w:autoSpaceDE w:val="false"/>
        <w:rPr>
          <w:rFonts w:ascii="Arial" w:hAnsi="Arial" w:cs="Arial"/>
          <w:sz w:val="22"/>
        </w:rPr>
      </w:pPr>
      <w:r>
        <w:rPr>
          <w:rFonts w:cs="Arial" w:ascii="Arial" w:hAnsi="Arial"/>
          <w:sz w:val="22"/>
        </w:rPr>
        <w:tab/>
        <w:tab/>
        <w:tab/>
        <w:tab/>
        <w:tab/>
        <w:tab/>
        <w:t>)</w:t>
      </w:r>
    </w:p>
    <w:p>
      <w:pPr>
        <w:pStyle w:val="Normal"/>
        <w:rPr>
          <w:rFonts w:ascii="Arial" w:hAnsi="Arial" w:cs="Arial"/>
          <w:sz w:val="22"/>
        </w:rPr>
      </w:pPr>
      <w:r>
        <w:rPr>
          <w:rFonts w:cs="Arial" w:ascii="Arial" w:hAnsi="Arial"/>
          <w:sz w:val="22"/>
        </w:rPr>
        <w:t>California Independent System Operator</w:t>
        <w:tab/>
        <w:t>)</w:t>
        <w:tab/>
        <w:t>Docket No. ER01-889-000</w:t>
      </w:r>
    </w:p>
    <w:p>
      <w:pPr>
        <w:pStyle w:val="Normal"/>
        <w:rPr>
          <w:rFonts w:ascii="Arial" w:hAnsi="Arial" w:cs="Arial"/>
          <w:sz w:val="22"/>
        </w:rPr>
      </w:pPr>
      <w:r>
        <w:rPr>
          <w:rFonts w:cs="Arial" w:ascii="Arial" w:hAnsi="Arial"/>
          <w:sz w:val="22"/>
        </w:rPr>
        <w:t>___________________________________ )</w:t>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t xml:space="preserve">Motion to Intervene and Protest </w:t>
      </w:r>
    </w:p>
    <w:p>
      <w:pPr>
        <w:pStyle w:val="Normal"/>
        <w:jc w:val="center"/>
        <w:rPr>
          <w:rFonts w:ascii="Arial" w:hAnsi="Arial" w:cs="Arial"/>
          <w:b/>
          <w:sz w:val="22"/>
        </w:rPr>
      </w:pPr>
      <w:r>
        <w:rPr>
          <w:rFonts w:cs="Arial" w:ascii="Arial" w:hAnsi="Arial"/>
          <w:b/>
          <w:sz w:val="22"/>
        </w:rPr>
        <w:t>of the Western Power Trading Forum</w:t>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r>
    </w:p>
    <w:p>
      <w:pPr>
        <w:pStyle w:val="BodyTextIndent"/>
        <w:jc w:val="both"/>
        <w:rPr/>
      </w:pPr>
      <w:r>
        <w:rPr>
          <w:rFonts w:cs="Arial" w:ascii="Arial" w:hAnsi="Arial"/>
          <w:sz w:val="22"/>
        </w:rPr>
        <w:t>Pursuant to Rules 211 and 214 of the Federal Energy Regulatory Commission’s (“Commission”) Rules of Practice and Procedure,</w:t>
      </w:r>
      <w:r>
        <w:rPr>
          <w:rStyle w:val="FootnoteCharacters"/>
          <w:rStyle w:val="FootnoteReference"/>
          <w:rFonts w:cs="Arial" w:ascii="Arial" w:hAnsi="Arial"/>
          <w:sz w:val="22"/>
        </w:rPr>
        <w:footnoteReference w:id="2"/>
      </w:r>
      <w:r>
        <w:rPr>
          <w:rFonts w:cs="Arial" w:ascii="Arial" w:hAnsi="Arial"/>
          <w:sz w:val="22"/>
        </w:rPr>
        <w:t xml:space="preserve"> the Western Power Trading Forum (“WPTF”) moves to intervene in this docket in order to file its protest and comments on the October 12, 2001, Status Report of the ISO Regarding Creditworthy Counter-Parties for Third-Party Suppliers (“October 12 Report” or “Report”).  Notice of the filing was provided by the Commission on October 1, 2001, calling for motions to intervene and/or protests to be filed by October 29, 2001.  </w:t>
      </w:r>
    </w:p>
    <w:p>
      <w:pPr>
        <w:pStyle w:val="QA"/>
        <w:widowControl/>
        <w:spacing w:lineRule="auto" w:line="480"/>
        <w:ind w:firstLine="720" w:start="0" w:end="0"/>
        <w:jc w:val="both"/>
        <w:rPr/>
      </w:pPr>
      <w:r>
        <w:rPr>
          <w:rFonts w:cs="Arial" w:ascii="Arial" w:hAnsi="Arial"/>
          <w:b/>
          <w:bCs/>
          <w:sz w:val="22"/>
        </w:rPr>
        <w:t xml:space="preserve">A.  </w:t>
      </w:r>
      <w:r>
        <w:rPr>
          <w:rFonts w:cs="Arial" w:ascii="Arial" w:hAnsi="Arial"/>
          <w:b/>
          <w:bCs/>
          <w:sz w:val="22"/>
          <w:u w:val="single"/>
        </w:rPr>
        <w:t>The Identity of WPTF and Its Interest in This Proceeding.</w:t>
      </w:r>
    </w:p>
    <w:p>
      <w:pPr>
        <w:pStyle w:val="QA"/>
        <w:widowControl/>
        <w:spacing w:lineRule="auto" w:line="480"/>
        <w:ind w:firstLine="720" w:start="0" w:end="0"/>
        <w:jc w:val="both"/>
        <w:rPr>
          <w:rFonts w:ascii="Arial" w:hAnsi="Arial" w:cs="Arial"/>
          <w:sz w:val="22"/>
        </w:rPr>
      </w:pPr>
      <w:r>
        <w:rPr>
          <w:rFonts w:cs="Arial" w:ascii="Arial" w:hAnsi="Arial"/>
          <w:sz w:val="22"/>
        </w:rPr>
        <w:t xml:space="preserve">WPTF is a California non-profit, mutual benefit corporation.  It is a broadly based membership organization dedicated to enhancing competition in Western electric markets in order to reduce the cost of electricity to consumers throughout the region while maintaining the current high level of system reliability.  WPTF actions are focused on supporting development of competitive electricity markets throughout the region and developing uniform operating rules to facilitate transactions among market participants.  The WPTF provides a voice through which members can influence the development of market structures throughout the region.  </w:t>
      </w:r>
    </w:p>
    <w:p>
      <w:pPr>
        <w:pStyle w:val="QA"/>
        <w:widowControl/>
        <w:spacing w:lineRule="auto" w:line="480"/>
        <w:ind w:firstLine="720" w:start="0" w:end="0"/>
        <w:jc w:val="both"/>
        <w:rPr>
          <w:rFonts w:ascii="Arial" w:hAnsi="Arial" w:cs="Arial"/>
          <w:sz w:val="22"/>
        </w:rPr>
      </w:pPr>
      <w:r>
        <w:rPr>
          <w:rFonts w:cs="Arial" w:ascii="Arial" w:hAnsi="Arial"/>
          <w:sz w:val="22"/>
        </w:rPr>
        <w:t>The membership of WPTF includes energy service providers, scheduling coordinators, generators and a power exchange, all of which are active participants in the restructured California electricity market.  WPTF has a vital interest in the development of a competitive electric market and in the reduction of barriers that may exist in the very structure of new markets.  Therefore, WPTF has a material interest in ISO’s filing and its participation in this proceeding will be in the public interest.  No other party can adequately represent the interests of WPTF in this proceeding.</w:t>
      </w:r>
    </w:p>
    <w:p>
      <w:pPr>
        <w:pStyle w:val="QA"/>
        <w:widowControl/>
        <w:spacing w:lineRule="auto" w:line="480"/>
        <w:ind w:firstLine="720" w:start="0" w:end="0"/>
        <w:jc w:val="both"/>
        <w:rPr>
          <w:rFonts w:ascii="Arial" w:hAnsi="Arial" w:cs="Arial"/>
          <w:sz w:val="22"/>
        </w:rPr>
      </w:pPr>
      <w:r>
        <w:rPr>
          <w:rFonts w:cs="Arial" w:ascii="Arial" w:hAnsi="Arial"/>
          <w:sz w:val="22"/>
        </w:rPr>
        <w:t>For purposes of notices and communications, WPTF requests that the following name be placed on the service list for this proceeding:</w:t>
      </w:r>
    </w:p>
    <w:p>
      <w:pPr>
        <w:pStyle w:val="Normal"/>
        <w:ind w:firstLine="1440" w:end="0"/>
        <w:rPr>
          <w:rFonts w:ascii="Arial" w:hAnsi="Arial" w:cs="Arial"/>
          <w:sz w:val="22"/>
        </w:rPr>
      </w:pPr>
      <w:r>
        <w:rPr>
          <w:rFonts w:cs="Arial" w:ascii="Arial" w:hAnsi="Arial"/>
          <w:sz w:val="22"/>
        </w:rPr>
        <w:t>Daniel W. Douglass</w:t>
      </w:r>
    </w:p>
    <w:p>
      <w:pPr>
        <w:pStyle w:val="Normal"/>
        <w:ind w:firstLine="1440" w:end="0"/>
        <w:rPr>
          <w:rFonts w:ascii="Arial" w:hAnsi="Arial" w:cs="Arial"/>
          <w:sz w:val="22"/>
        </w:rPr>
      </w:pPr>
      <w:r>
        <w:rPr>
          <w:rFonts w:cs="Arial" w:ascii="Arial" w:hAnsi="Arial"/>
          <w:sz w:val="22"/>
        </w:rPr>
        <w:t>5959 Topanga Canyon Blvd.  Suite 244</w:t>
      </w:r>
    </w:p>
    <w:p>
      <w:pPr>
        <w:pStyle w:val="Normal"/>
        <w:ind w:firstLine="1440" w:end="0"/>
        <w:rPr>
          <w:rFonts w:ascii="Arial" w:hAnsi="Arial" w:cs="Arial"/>
          <w:sz w:val="22"/>
        </w:rPr>
      </w:pPr>
      <w:r>
        <w:rPr>
          <w:rFonts w:cs="Arial" w:ascii="Arial" w:hAnsi="Arial"/>
          <w:sz w:val="22"/>
        </w:rPr>
        <w:t>Woodland Hills, CA 91367</w:t>
      </w:r>
    </w:p>
    <w:p>
      <w:pPr>
        <w:pStyle w:val="Normal"/>
        <w:ind w:firstLine="1440" w:end="0"/>
        <w:rPr>
          <w:rFonts w:ascii="Arial" w:hAnsi="Arial" w:cs="Arial"/>
          <w:sz w:val="22"/>
        </w:rPr>
      </w:pPr>
      <w:r>
        <w:rPr>
          <w:rFonts w:cs="Arial" w:ascii="Arial" w:hAnsi="Arial"/>
          <w:sz w:val="22"/>
        </w:rPr>
        <w:t xml:space="preserve">Telephone: </w:t>
        <w:tab/>
        <w:t>(818) 596-2201</w:t>
      </w:r>
    </w:p>
    <w:p>
      <w:pPr>
        <w:pStyle w:val="Normal"/>
        <w:ind w:firstLine="1440" w:end="0"/>
        <w:rPr>
          <w:rFonts w:ascii="Arial" w:hAnsi="Arial" w:cs="Arial"/>
          <w:sz w:val="22"/>
        </w:rPr>
      </w:pPr>
      <w:r>
        <w:rPr>
          <w:rFonts w:cs="Arial" w:ascii="Arial" w:hAnsi="Arial"/>
          <w:sz w:val="22"/>
        </w:rPr>
        <w:t>Facsimile:</w:t>
        <w:tab/>
        <w:t>(818) 346-6502</w:t>
      </w:r>
    </w:p>
    <w:p>
      <w:pPr>
        <w:pStyle w:val="Normal"/>
        <w:ind w:firstLine="1440" w:end="0"/>
        <w:rPr>
          <w:rFonts w:ascii="Arial" w:hAnsi="Arial" w:cs="Arial"/>
          <w:sz w:val="22"/>
        </w:rPr>
      </w:pPr>
      <w:r>
        <w:rPr>
          <w:rFonts w:cs="Arial" w:ascii="Arial" w:hAnsi="Arial"/>
          <w:sz w:val="22"/>
        </w:rPr>
        <w:t>Email:</w:t>
        <w:tab/>
        <w:t>douglass@energyattorney.com</w:t>
      </w:r>
    </w:p>
    <w:p>
      <w:pPr>
        <w:pStyle w:val="Normal"/>
        <w:spacing w:lineRule="auto" w:line="480"/>
        <w:jc w:val="both"/>
        <w:rPr>
          <w:rFonts w:ascii="Arial" w:hAnsi="Arial" w:cs="Arial"/>
          <w:sz w:val="22"/>
        </w:rPr>
      </w:pPr>
      <w:r>
        <w:rPr>
          <w:rFonts w:cs="Arial" w:ascii="Arial" w:hAnsi="Arial"/>
          <w:sz w:val="22"/>
        </w:rPr>
      </w:r>
    </w:p>
    <w:p>
      <w:pPr>
        <w:pStyle w:val="Normal"/>
        <w:spacing w:lineRule="auto" w:line="480"/>
        <w:ind w:firstLine="710" w:end="0"/>
        <w:jc w:val="both"/>
        <w:rPr/>
      </w:pPr>
      <w:r>
        <w:rPr>
          <w:rFonts w:cs="Arial" w:ascii="Arial" w:hAnsi="Arial"/>
          <w:b/>
          <w:bCs/>
          <w:sz w:val="22"/>
        </w:rPr>
        <w:t xml:space="preserve">B.  </w:t>
      </w:r>
      <w:r>
        <w:rPr>
          <w:rFonts w:cs="Arial" w:ascii="Arial" w:hAnsi="Arial"/>
          <w:b/>
          <w:bCs/>
          <w:sz w:val="22"/>
          <w:u w:val="single"/>
        </w:rPr>
        <w:t>Summary of Comments</w:t>
      </w:r>
      <w:r>
        <w:rPr>
          <w:rFonts w:cs="Arial" w:ascii="Arial" w:hAnsi="Arial"/>
          <w:sz w:val="22"/>
        </w:rPr>
        <w:tab/>
      </w:r>
    </w:p>
    <w:p>
      <w:pPr>
        <w:pStyle w:val="FootnoteText"/>
        <w:spacing w:lineRule="auto" w:line="480"/>
        <w:ind w:firstLine="710" w:end="0"/>
        <w:jc w:val="both"/>
        <w:rPr/>
      </w:pPr>
      <w:r>
        <w:rPr>
          <w:rFonts w:cs="Arial" w:ascii="Arial" w:hAnsi="Arial"/>
          <w:sz w:val="22"/>
        </w:rPr>
        <w:t xml:space="preserve">The Commission has been clear regarding the need for strict enforcement of creditworthiness standards for all participants in the CAISO markets.  However, as with other pronouncements of the Commission (such as those dealing with governance) CAISO has come to recognize that it can dismiss the Commission’s directives with impunity.  The latest exhibit of the casual attitude with which CAISO ignores Commission direction is its incestuous relationship with the California Department of Water Resources’ California Energy Resources Scheduler (“CDWR/CERS”).  We now have the staggering concept of the largest participant in the California market being permitted to dictate CAISO policy, flagrantly disobey the Commission’s orders and </w:t>
      </w:r>
      <w:r>
        <w:rPr>
          <w:rFonts w:cs="Arial" w:ascii="Arial" w:hAnsi="Arial"/>
          <w:b/>
          <w:bCs/>
          <w:sz w:val="22"/>
          <w:u w:val="single"/>
        </w:rPr>
        <w:t>not even pay for the power it purchases</w:t>
      </w:r>
      <w:r>
        <w:rPr>
          <w:rFonts w:cs="Arial" w:ascii="Arial" w:hAnsi="Arial"/>
          <w:b/>
          <w:bCs/>
          <w:sz w:val="22"/>
        </w:rPr>
        <w:t>!</w:t>
      </w:r>
      <w:r>
        <w:rPr>
          <w:rFonts w:cs="Arial" w:ascii="Arial" w:hAnsi="Arial"/>
          <w:sz w:val="22"/>
        </w:rPr>
        <w:t xml:space="preserve">  </w:t>
      </w:r>
    </w:p>
    <w:p>
      <w:pPr>
        <w:pStyle w:val="FootnoteText"/>
        <w:spacing w:lineRule="auto" w:line="480"/>
        <w:ind w:firstLine="710" w:end="0"/>
        <w:jc w:val="both"/>
        <w:rPr>
          <w:rFonts w:ascii="Arial" w:hAnsi="Arial" w:cs="Arial"/>
          <w:sz w:val="22"/>
        </w:rPr>
      </w:pPr>
      <w:r>
        <w:rPr>
          <w:rFonts w:cs="Arial" w:ascii="Arial" w:hAnsi="Arial"/>
          <w:sz w:val="22"/>
        </w:rPr>
        <w:t xml:space="preserve">Where does the 800 pound gorilla sit?  Anywhere it wants.  CDWR/CERS is California’s proverbial gorilla . . . and other market participants are going deeper and deeper into debt keeping him in bananas.  The October 12 Status Report is a clear admission by CAISO that it is not billing CDWR/CERS for services received, that CAISO has failed to comply with the Commission’s creditworthiness orders and that it is rapidly descending to a state of inability to assure the ongoing reliability of the California market.  </w:t>
      </w:r>
    </w:p>
    <w:p>
      <w:pPr>
        <w:pStyle w:val="FootnoteText"/>
        <w:spacing w:lineRule="auto" w:line="480"/>
        <w:ind w:firstLine="710" w:end="0"/>
        <w:jc w:val="both"/>
        <w:rPr/>
      </w:pPr>
      <w:r>
        <w:rPr>
          <w:rFonts w:cs="Arial" w:ascii="Arial" w:hAnsi="Arial"/>
          <w:sz w:val="22"/>
        </w:rPr>
        <w:t xml:space="preserve">CAISO has estimated that only about </w:t>
      </w:r>
      <w:r>
        <w:rPr>
          <w:rFonts w:cs="Arial" w:ascii="Arial" w:hAnsi="Arial"/>
          <w:sz w:val="22"/>
          <w:u w:val="single"/>
        </w:rPr>
        <w:t>8%</w:t>
      </w:r>
      <w:r>
        <w:rPr>
          <w:rFonts w:cs="Arial" w:ascii="Arial" w:hAnsi="Arial"/>
          <w:sz w:val="22"/>
        </w:rPr>
        <w:t xml:space="preserve"> of the total amounts due market participants since November 2000 has been cleared and paid through the CAISO settlement processes.  This fact is remarkable.  What is truly astounding is that the market continues to function at all, given this payment history.</w:t>
      </w:r>
    </w:p>
    <w:p>
      <w:pPr>
        <w:pStyle w:val="FootnoteText"/>
        <w:spacing w:lineRule="auto" w:line="480"/>
        <w:ind w:firstLine="710" w:end="0"/>
        <w:jc w:val="both"/>
        <w:rPr>
          <w:rFonts w:ascii="Arial" w:hAnsi="Arial" w:cs="Arial"/>
          <w:sz w:val="22"/>
        </w:rPr>
      </w:pPr>
      <w:r>
        <w:rPr>
          <w:rFonts w:cs="Arial" w:ascii="Arial" w:hAnsi="Arial"/>
          <w:sz w:val="22"/>
        </w:rPr>
        <w:t xml:space="preserve">CAISO now informs the Commission that it has unilaterally negotiated with CDWR/CERS a “supplemental” settlement process without any stakeholder involvement or participation.  This process is confusing and it will further destabilize the CAISO’s markets should the Commission approve it.  WPTF believes that CAISO’s failure to utilize the existing settlement process is clearly engendering a new financial crisis in California.   </w:t>
      </w:r>
    </w:p>
    <w:p>
      <w:pPr>
        <w:pStyle w:val="BodyTextIndent"/>
        <w:ind w:firstLine="710" w:end="0"/>
        <w:jc w:val="both"/>
        <w:rPr>
          <w:rFonts w:ascii="Arial" w:hAnsi="Arial" w:cs="Arial"/>
          <w:sz w:val="22"/>
        </w:rPr>
      </w:pPr>
      <w:r>
        <w:rPr>
          <w:rFonts w:cs="Arial" w:ascii="Arial" w:hAnsi="Arial"/>
          <w:sz w:val="22"/>
        </w:rPr>
        <w:t>In summary, the October 12 Status Report is objectionable for the following three fundamental reasons:</w:t>
      </w:r>
    </w:p>
    <w:p>
      <w:pPr>
        <w:pStyle w:val="BodyTextIndent"/>
        <w:numPr>
          <w:ilvl w:val="0"/>
          <w:numId w:val="3"/>
        </w:numPr>
        <w:jc w:val="both"/>
        <w:rPr>
          <w:rFonts w:ascii="Arial" w:hAnsi="Arial" w:cs="Arial"/>
          <w:sz w:val="22"/>
        </w:rPr>
      </w:pPr>
      <w:r>
        <w:rPr>
          <w:rFonts w:cs="Arial" w:ascii="Arial" w:hAnsi="Arial"/>
          <w:sz w:val="22"/>
        </w:rPr>
        <w:t>It demonstrates that CAISO is failing to enforce the creditworthiness standards enunciated in the Commission’s February 14 Order;</w:t>
      </w:r>
    </w:p>
    <w:p>
      <w:pPr>
        <w:pStyle w:val="BodyTextIndent"/>
        <w:numPr>
          <w:ilvl w:val="0"/>
          <w:numId w:val="3"/>
        </w:numPr>
        <w:jc w:val="both"/>
        <w:rPr>
          <w:rFonts w:ascii="Arial" w:hAnsi="Arial" w:cs="Arial"/>
          <w:sz w:val="22"/>
        </w:rPr>
      </w:pPr>
      <w:r>
        <w:rPr>
          <w:rFonts w:cs="Arial" w:ascii="Arial" w:hAnsi="Arial"/>
          <w:sz w:val="22"/>
        </w:rPr>
        <w:t xml:space="preserve">It reiterates and emphasizes the abuses that are occurring because the Commission has not enforced its prior pronouncements with regard to CAISO governance; and  </w:t>
      </w:r>
    </w:p>
    <w:p>
      <w:pPr>
        <w:pStyle w:val="BodyTextIndent"/>
        <w:numPr>
          <w:ilvl w:val="0"/>
          <w:numId w:val="3"/>
        </w:numPr>
        <w:jc w:val="both"/>
        <w:rPr>
          <w:rFonts w:ascii="Arial" w:hAnsi="Arial" w:cs="Arial"/>
          <w:sz w:val="22"/>
        </w:rPr>
      </w:pPr>
      <w:r>
        <w:rPr>
          <w:rFonts w:cs="Arial" w:ascii="Arial" w:hAnsi="Arial"/>
          <w:sz w:val="22"/>
        </w:rPr>
        <w:t>It proposes a new settlement approach that is inconsistent with the CAISO tariff as it offers special privileges and standing to a single market participant, to the detriment of all other participants.</w:t>
      </w:r>
    </w:p>
    <w:p>
      <w:pPr>
        <w:pStyle w:val="BodyTextIndent"/>
        <w:jc w:val="both"/>
        <w:rPr>
          <w:rFonts w:ascii="Arial" w:hAnsi="Arial" w:cs="Arial"/>
          <w:sz w:val="22"/>
        </w:rPr>
      </w:pPr>
      <w:r>
        <w:rPr>
          <w:rFonts w:cs="Arial" w:ascii="Arial" w:hAnsi="Arial"/>
          <w:sz w:val="22"/>
        </w:rPr>
      </w:r>
    </w:p>
    <w:p>
      <w:pPr>
        <w:pStyle w:val="BodyTextIndent"/>
        <w:jc w:val="both"/>
        <w:rPr/>
      </w:pPr>
      <w:r>
        <w:rPr>
          <w:rFonts w:cs="Arial" w:ascii="Arial" w:hAnsi="Arial"/>
          <w:b/>
          <w:bCs/>
          <w:sz w:val="22"/>
        </w:rPr>
        <w:t xml:space="preserve">1.  </w:t>
      </w:r>
      <w:r>
        <w:rPr>
          <w:rFonts w:cs="Arial" w:ascii="Arial" w:hAnsi="Arial"/>
          <w:b/>
          <w:bCs/>
          <w:sz w:val="22"/>
          <w:u w:val="single"/>
        </w:rPr>
        <w:t>CAISO Offers Compliance in Form But Not Substance</w:t>
      </w:r>
    </w:p>
    <w:p>
      <w:pPr>
        <w:pStyle w:val="BodyTextIndent"/>
        <w:jc w:val="both"/>
        <w:rPr>
          <w:rFonts w:ascii="Arial" w:hAnsi="Arial" w:cs="Arial"/>
          <w:sz w:val="22"/>
        </w:rPr>
      </w:pPr>
      <w:r>
        <w:rPr>
          <w:rFonts w:cs="Arial" w:ascii="Arial" w:hAnsi="Arial"/>
          <w:sz w:val="22"/>
        </w:rPr>
        <w:t>The October 12 Report is remarkable for the manner in which CAISO defends its actions and claims compliance with its tariffs and with the Commission’s directives regarding creditworthiness, despite the fact that such “compliance” is clearly that of form, but not substance.  CAISO states the following at pp. 10-11 of the Report:</w:t>
      </w:r>
    </w:p>
    <w:p>
      <w:pPr>
        <w:pStyle w:val="Normal"/>
        <w:autoSpaceDE w:val="false"/>
        <w:ind w:start="710" w:end="698"/>
        <w:jc w:val="both"/>
        <w:rPr>
          <w:rFonts w:ascii="Arial" w:hAnsi="Arial" w:cs="Arial"/>
          <w:sz w:val="22"/>
        </w:rPr>
      </w:pPr>
      <w:r>
        <w:rPr>
          <w:rFonts w:cs="Arial" w:ascii="Arial" w:hAnsi="Arial"/>
          <w:sz w:val="22"/>
        </w:rPr>
        <w:t>These complications not withstanding, the IS0 has remained in compliance with the IS0 Tariff provisions regarding the IS0 role as settlement agent. Under the IS0 Tariff, the IS0 bills the IOUs - the Scheduling Coordinators- for Ancillary Services and Imbalance Energy procured on behalf of their Loads. The ISO, however, is only authorized and required to distribute amounts in its Clearing Account and Reserve Account, i.e., amounts it actually has received from Debtors or as security deposits. The IS0 Tariff does not require the IS0 to act as a collection agent. The IS0 Tariff requires the IS0 to ensure that Scheduling Coordinators are creditworthy, or, pursuant to Commission orders, to provide assurances of payment from a creditworthy third-party for transactions on behalf of the IOUs in the IS0 Ancillary Services and Imbalance Energy Markets. The IS0 Tariff does not require the IS0 itself to become a guarantor and ensure that the CDWR, or any other creditworthy party, abides by their payment obligations. Nothing in the Commission’ s orders requires to the contrary.</w:t>
      </w:r>
    </w:p>
    <w:p>
      <w:pPr>
        <w:pStyle w:val="Normal"/>
        <w:autoSpaceDE w:val="false"/>
        <w:rPr>
          <w:rFonts w:ascii="Arial" w:hAnsi="Arial" w:cs="Arial"/>
          <w:sz w:val="22"/>
        </w:rPr>
      </w:pPr>
      <w:r>
        <w:rPr>
          <w:rFonts w:cs="Arial" w:ascii="Arial" w:hAnsi="Arial"/>
          <w:sz w:val="22"/>
        </w:rPr>
      </w:r>
    </w:p>
    <w:p>
      <w:pPr>
        <w:pStyle w:val="BodyTextIndent"/>
        <w:jc w:val="both"/>
        <w:rPr/>
      </w:pPr>
      <w:r>
        <w:rPr>
          <w:rFonts w:cs="Arial" w:ascii="Arial" w:hAnsi="Arial"/>
          <w:sz w:val="22"/>
        </w:rPr>
        <w:t xml:space="preserve">In other words, CAISO states that it satisfies its duties through mere assurance that a Scheduling Coordinator is creditworthy.  However, if the Scheduling Coordinator actually does </w:t>
      </w:r>
      <w:r>
        <w:rPr>
          <w:rFonts w:cs="Arial" w:ascii="Arial" w:hAnsi="Arial"/>
          <w:sz w:val="22"/>
          <w:u w:val="single"/>
        </w:rPr>
        <w:t>not</w:t>
      </w:r>
      <w:r>
        <w:rPr>
          <w:rFonts w:cs="Arial" w:ascii="Arial" w:hAnsi="Arial"/>
          <w:sz w:val="22"/>
        </w:rPr>
        <w:t xml:space="preserve"> pay, CAISO apparently believes that it has no remedial or disciplinary resources available to it and the defaulting party must continue to be allowed to participate in the market and have its defaults (and the corresponding burden on other market participants) grow unchecked.  This borders on farce.  Indeed, the Commission must ask of CAISO the following simple questions:</w:t>
      </w:r>
    </w:p>
    <w:p>
      <w:pPr>
        <w:pStyle w:val="BodyTextIndent"/>
        <w:spacing w:lineRule="auto" w:line="240"/>
        <w:ind w:firstLine="14" w:start="706" w:end="763"/>
        <w:jc w:val="both"/>
        <w:rPr>
          <w:rFonts w:ascii="Arial" w:hAnsi="Arial" w:cs="Arial"/>
          <w:b/>
          <w:bCs/>
          <w:sz w:val="22"/>
        </w:rPr>
      </w:pPr>
      <w:r>
        <w:rPr>
          <w:rFonts w:cs="Arial" w:ascii="Arial" w:hAnsi="Arial"/>
          <w:b/>
          <w:bCs/>
          <w:sz w:val="22"/>
        </w:rPr>
        <w:t>Would it allow any other Scheduling Coordinator to have similar privileges?  Would any other Scheduling Coordinator be permitted to default on the overwhelming bulk of its obligations for almost a year and CAISO continue to permit their participation in the market?</w:t>
      </w:r>
    </w:p>
    <w:p>
      <w:pPr>
        <w:pStyle w:val="BodyTextIndent"/>
        <w:spacing w:lineRule="auto" w:line="240"/>
        <w:ind w:hanging="0" w:end="0"/>
        <w:jc w:val="both"/>
        <w:rPr>
          <w:rFonts w:ascii="Arial" w:hAnsi="Arial" w:cs="Arial"/>
          <w:b/>
          <w:bCs/>
          <w:sz w:val="22"/>
        </w:rPr>
      </w:pPr>
      <w:r>
        <w:rPr>
          <w:rFonts w:cs="Arial" w:ascii="Arial" w:hAnsi="Arial"/>
          <w:b/>
          <w:bCs/>
          <w:sz w:val="22"/>
        </w:rPr>
      </w:r>
    </w:p>
    <w:p>
      <w:pPr>
        <w:pStyle w:val="BodyTextIndent"/>
        <w:ind w:hanging="0" w:end="0"/>
        <w:jc w:val="both"/>
        <w:rPr>
          <w:rFonts w:ascii="Arial" w:hAnsi="Arial" w:cs="Arial"/>
          <w:sz w:val="22"/>
        </w:rPr>
      </w:pPr>
      <w:r>
        <w:rPr>
          <w:rFonts w:cs="Arial" w:ascii="Arial" w:hAnsi="Arial"/>
          <w:sz w:val="22"/>
        </w:rPr>
        <w:t xml:space="preserve">The answers, clearly, are “no” to both questions.  CAISO has failed to comply with the Commission’s orders regarding creditworthiness due to the simple facts that it has allowed CDWR/CERS to avoid payment for power under the CAISO tariff, it has allowed other market participants to be harmed financially by CDWR/CERS and it has failed to suspend the CDWR/CERS’ right to participate in the CAISO markets due to such defaults.  </w:t>
      </w:r>
    </w:p>
    <w:p>
      <w:pPr>
        <w:pStyle w:val="BodyTextIndent"/>
        <w:ind w:firstLine="710" w:end="0"/>
        <w:jc w:val="both"/>
        <w:rPr/>
      </w:pPr>
      <w:r>
        <w:rPr>
          <w:rFonts w:cs="Arial" w:ascii="Arial" w:hAnsi="Arial"/>
          <w:sz w:val="22"/>
        </w:rPr>
        <w:t xml:space="preserve">The facts demonstrate that CAISO is feigning compliance with its tariff and that the Commission must demand of CAISO that it enforce its tariffs equally and non-discriminatorily with </w:t>
      </w:r>
      <w:r>
        <w:rPr>
          <w:rFonts w:cs="Arial" w:ascii="Arial" w:hAnsi="Arial"/>
          <w:sz w:val="22"/>
          <w:u w:val="single"/>
        </w:rPr>
        <w:t>all</w:t>
      </w:r>
      <w:r>
        <w:rPr>
          <w:rFonts w:cs="Arial" w:ascii="Arial" w:hAnsi="Arial"/>
          <w:sz w:val="22"/>
        </w:rPr>
        <w:t xml:space="preserve"> market participants, including CDWR/CERS.  WPTF respectfully requests that the Commission order CAISO to bill CDWR/CERS for any and all sums due to CAISO and/or other market participants and to direct CAISO to suspend CDWR/CERS’ right to participate in such markets should payment in full not be made by a specified date certain in the very near future.  </w:t>
      </w:r>
    </w:p>
    <w:p>
      <w:pPr>
        <w:pStyle w:val="BodyTextIndent"/>
        <w:spacing w:lineRule="auto" w:line="240"/>
        <w:rPr>
          <w:rFonts w:ascii="Arial" w:hAnsi="Arial" w:cs="Arial"/>
          <w:sz w:val="22"/>
        </w:rPr>
      </w:pPr>
      <w:r>
        <w:rPr>
          <w:rFonts w:cs="Arial" w:ascii="Arial" w:hAnsi="Arial"/>
          <w:sz w:val="22"/>
        </w:rPr>
      </w:r>
    </w:p>
    <w:p>
      <w:pPr>
        <w:pStyle w:val="BodyTextIndent"/>
        <w:numPr>
          <w:ilvl w:val="0"/>
          <w:numId w:val="2"/>
        </w:numPr>
        <w:spacing w:lineRule="auto" w:line="240"/>
        <w:jc w:val="both"/>
        <w:rPr>
          <w:rFonts w:ascii="Arial" w:hAnsi="Arial" w:cs="Arial"/>
          <w:b/>
          <w:bCs/>
          <w:sz w:val="22"/>
          <w:u w:val="single"/>
        </w:rPr>
      </w:pPr>
      <w:r>
        <w:rPr>
          <w:rFonts w:cs="Arial" w:ascii="Arial" w:hAnsi="Arial"/>
          <w:b/>
          <w:bCs/>
          <w:sz w:val="22"/>
          <w:u w:val="single"/>
        </w:rPr>
        <w:t>The Market Situation in California Has Been Aggravated By The Commission’s Non-Enforcement of Its Prior Governance Orders.</w:t>
      </w:r>
    </w:p>
    <w:p>
      <w:pPr>
        <w:pStyle w:val="BodyTextIndent"/>
        <w:spacing w:lineRule="auto" w:line="240"/>
        <w:rPr>
          <w:rFonts w:ascii="Arial" w:hAnsi="Arial" w:cs="Arial"/>
          <w:b/>
          <w:bCs/>
          <w:sz w:val="22"/>
          <w:u w:val="single"/>
        </w:rPr>
      </w:pPr>
      <w:r>
        <w:rPr>
          <w:rFonts w:cs="Arial" w:ascii="Arial" w:hAnsi="Arial"/>
          <w:b/>
          <w:bCs/>
          <w:sz w:val="22"/>
          <w:u w:val="single"/>
        </w:rPr>
      </w:r>
    </w:p>
    <w:p>
      <w:pPr>
        <w:pStyle w:val="BodyTextIndent"/>
        <w:jc w:val="both"/>
        <w:rPr>
          <w:rFonts w:ascii="Arial" w:hAnsi="Arial" w:cs="Arial"/>
          <w:sz w:val="22"/>
        </w:rPr>
      </w:pPr>
      <w:r>
        <w:rPr>
          <w:rFonts w:cs="Arial" w:ascii="Arial" w:hAnsi="Arial"/>
          <w:sz w:val="22"/>
        </w:rPr>
        <w:t>WPTF has noted in multiple earlier filings that problems in the California market have been severely exacerbated by the CAISO’s failure to comply with the Commission’s lawful governance orders.  This non-compliance has been aggravated by the Commission’s seeming reluctance to enforce its orders, thereby inducing CAISO to engage in ever-increasing abuses.  The failure to enforce its creditworthiness standards is another example of the harm done to the California marketplace by the State’s intrusion into the management and operation of CAISO.</w:t>
      </w:r>
    </w:p>
    <w:p>
      <w:pPr>
        <w:pStyle w:val="BodyTextIndent"/>
        <w:jc w:val="both"/>
        <w:rPr/>
      </w:pPr>
      <w:r>
        <w:rPr>
          <w:rFonts w:cs="Arial" w:ascii="Arial" w:hAnsi="Arial"/>
          <w:sz w:val="22"/>
        </w:rPr>
        <w:t xml:space="preserve">The Commission has found that public utility filings that are made at the specific direction of state authorities have the potential to interfere with the statutory scheme of the FPA.  Such filings have the potential for imposing a direct burden on interstate commerce, in contravention of the Commerce Clause of the Constitution.  See </w:t>
      </w:r>
      <w:r>
        <w:rPr>
          <w:rFonts w:cs="Arial" w:ascii="Arial" w:hAnsi="Arial"/>
          <w:i/>
          <w:sz w:val="22"/>
        </w:rPr>
        <w:t>Western Massachusetts Electric Co.</w:t>
      </w:r>
      <w:r>
        <w:rPr>
          <w:rFonts w:cs="Arial" w:ascii="Arial" w:hAnsi="Arial"/>
          <w:sz w:val="22"/>
        </w:rPr>
        <w:t>, 23 FERC ¶ 61,025 (1983) (“</w:t>
      </w:r>
      <w:r>
        <w:rPr>
          <w:rFonts w:cs="Arial" w:ascii="Arial" w:hAnsi="Arial"/>
          <w:i/>
          <w:sz w:val="22"/>
        </w:rPr>
        <w:t>WMECO</w:t>
      </w:r>
      <w:r>
        <w:rPr>
          <w:rFonts w:cs="Arial" w:ascii="Arial" w:hAnsi="Arial"/>
          <w:sz w:val="22"/>
        </w:rPr>
        <w:t xml:space="preserve">”), </w:t>
      </w:r>
      <w:r>
        <w:rPr>
          <w:rFonts w:cs="Arial" w:ascii="Arial" w:hAnsi="Arial"/>
          <w:i/>
          <w:sz w:val="22"/>
        </w:rPr>
        <w:t>reh’g denied</w:t>
      </w:r>
      <w:r>
        <w:rPr>
          <w:rFonts w:cs="Arial" w:ascii="Arial" w:hAnsi="Arial"/>
          <w:sz w:val="22"/>
        </w:rPr>
        <w:t>, 23 FERC ¶ 61,345 (1983).  This Commission has examined frequently issues associated with the governance of the ISO.  We now have a situation where CAISO has made a series of regulatory filings that are clearly and expressly at the behest of CDWR/CERS.  As noted by CAISO at pp. 11-12 of the October 12 Report:</w:t>
      </w:r>
    </w:p>
    <w:p>
      <w:pPr>
        <w:pStyle w:val="Normal"/>
        <w:autoSpaceDE w:val="false"/>
        <w:ind w:start="710" w:end="769"/>
        <w:jc w:val="both"/>
        <w:rPr/>
      </w:pPr>
      <w:r>
        <w:rPr>
          <w:rFonts w:cs="Arial" w:ascii="Arial" w:hAnsi="Arial"/>
          <w:sz w:val="22"/>
        </w:rPr>
        <w:t xml:space="preserve">However, CDWR continues to </w:t>
      </w:r>
      <w:r>
        <w:rPr>
          <w:rFonts w:cs="Arial" w:ascii="Arial" w:hAnsi="Arial"/>
          <w:sz w:val="22"/>
          <w:u w:val="single"/>
        </w:rPr>
        <w:t>require the IS0 to supply it with certain nonpublic information not otherwise available to Market Participants</w:t>
      </w:r>
      <w:r>
        <w:rPr>
          <w:rFonts w:cs="Arial" w:ascii="Arial" w:hAnsi="Arial"/>
          <w:sz w:val="22"/>
        </w:rPr>
        <w:t xml:space="preserve">. </w:t>
      </w:r>
    </w:p>
    <w:p>
      <w:pPr>
        <w:pStyle w:val="Normal"/>
        <w:autoSpaceDE w:val="false"/>
        <w:ind w:start="710" w:end="769"/>
        <w:jc w:val="both"/>
        <w:rPr>
          <w:rFonts w:ascii="Arial" w:hAnsi="Arial" w:cs="Arial"/>
          <w:sz w:val="22"/>
        </w:rPr>
      </w:pPr>
      <w:r>
        <w:rPr>
          <w:rFonts w:cs="Arial" w:ascii="Arial" w:hAnsi="Arial"/>
          <w:sz w:val="22"/>
        </w:rPr>
      </w:r>
    </w:p>
    <w:p>
      <w:pPr>
        <w:pStyle w:val="Normal"/>
        <w:autoSpaceDE w:val="false"/>
        <w:ind w:start="710" w:end="769"/>
        <w:jc w:val="both"/>
        <w:rPr/>
      </w:pPr>
      <w:r>
        <w:rPr>
          <w:rFonts w:cs="Arial" w:ascii="Arial" w:hAnsi="Arial"/>
          <w:sz w:val="22"/>
        </w:rPr>
        <w:t xml:space="preserve">For example, CDWR is requiring, as a condition of its creditworthy backer role, that the IS0 supply it with hourly information, in $lO/MWh increments, as to the amount of Energy available in the “BEEP” stack.  </w:t>
      </w:r>
      <w:r>
        <w:rPr>
          <w:rFonts w:cs="Arial" w:ascii="Arial" w:hAnsi="Arial"/>
          <w:sz w:val="22"/>
          <w:u w:val="single"/>
        </w:rPr>
        <w:t>These data are not made available to other Market Participants</w:t>
      </w:r>
      <w:r>
        <w:rPr>
          <w:rFonts w:cs="Arial" w:ascii="Arial" w:hAnsi="Arial"/>
          <w:sz w:val="22"/>
        </w:rPr>
        <w:t xml:space="preserve">.  The CDWR also requires the IS0 to notify it </w:t>
      </w:r>
      <w:r>
        <w:rPr>
          <w:rFonts w:cs="Arial" w:ascii="Arial" w:hAnsi="Arial"/>
          <w:sz w:val="22"/>
          <w:szCs w:val="28"/>
        </w:rPr>
        <w:t xml:space="preserve">about </w:t>
      </w:r>
      <w:r>
        <w:rPr>
          <w:rFonts w:cs="Arial" w:ascii="Arial" w:hAnsi="Arial"/>
          <w:sz w:val="22"/>
        </w:rPr>
        <w:t xml:space="preserve">supply, demand, congestion and other types of changes in the IS0 system </w:t>
      </w:r>
      <w:r>
        <w:rPr>
          <w:rFonts w:cs="Arial" w:ascii="Arial" w:hAnsi="Arial"/>
          <w:sz w:val="22"/>
          <w:u w:val="single"/>
        </w:rPr>
        <w:t>in advance of such notification to other Market Participants</w:t>
      </w:r>
      <w:r>
        <w:rPr>
          <w:rFonts w:cs="Arial" w:ascii="Arial" w:hAnsi="Arial"/>
          <w:sz w:val="22"/>
        </w:rPr>
        <w:t xml:space="preserve">.  </w:t>
      </w:r>
    </w:p>
    <w:p>
      <w:pPr>
        <w:pStyle w:val="Normal"/>
        <w:autoSpaceDE w:val="false"/>
        <w:ind w:start="710" w:end="769"/>
        <w:jc w:val="both"/>
        <w:rPr>
          <w:rFonts w:ascii="Arial" w:hAnsi="Arial" w:cs="Arial"/>
          <w:sz w:val="22"/>
        </w:rPr>
      </w:pPr>
      <w:r>
        <w:rPr>
          <w:rFonts w:cs="Arial" w:ascii="Arial" w:hAnsi="Arial"/>
          <w:sz w:val="22"/>
        </w:rPr>
      </w:r>
    </w:p>
    <w:p>
      <w:pPr>
        <w:pStyle w:val="Normal"/>
        <w:autoSpaceDE w:val="false"/>
        <w:ind w:start="710" w:end="769"/>
        <w:jc w:val="both"/>
        <w:rPr/>
      </w:pPr>
      <w:r>
        <w:rPr>
          <w:rFonts w:cs="Arial" w:ascii="Arial" w:hAnsi="Arial"/>
          <w:sz w:val="22"/>
        </w:rPr>
        <w:t xml:space="preserve">CDWR also requires time-sensitive information regarding the ISO’ s forecasted net shortage of Generation for the upcoming operating hour.  </w:t>
      </w:r>
      <w:r>
        <w:rPr>
          <w:rFonts w:cs="Arial" w:ascii="Arial" w:hAnsi="Arial"/>
          <w:sz w:val="22"/>
          <w:u w:val="single"/>
        </w:rPr>
        <w:t>Such information is not made available to other Market Participants</w:t>
      </w:r>
      <w:r>
        <w:rPr>
          <w:rFonts w:cs="Arial" w:ascii="Arial" w:hAnsi="Arial"/>
          <w:sz w:val="22"/>
        </w:rPr>
        <w:t xml:space="preserve">.  The IS0 is further required to accept and dispatch out-of-market (“OOM”) bids acquired by CDWR </w:t>
      </w:r>
      <w:r>
        <w:rPr>
          <w:rFonts w:cs="Arial" w:ascii="Arial" w:hAnsi="Arial"/>
          <w:sz w:val="22"/>
          <w:u w:val="single"/>
        </w:rPr>
        <w:t>in advance of other bids</w:t>
      </w:r>
      <w:r>
        <w:rPr>
          <w:rFonts w:cs="Arial" w:ascii="Arial" w:hAnsi="Arial"/>
          <w:sz w:val="22"/>
        </w:rPr>
        <w:t xml:space="preserve"> in the “BEEP” stack.  A draft operating procedure summarizing this OOM information exchange with CDWR is posted on the IS0 Home Page. </w:t>
      </w:r>
    </w:p>
    <w:p>
      <w:pPr>
        <w:pStyle w:val="Normal"/>
        <w:autoSpaceDE w:val="false"/>
        <w:ind w:start="710" w:end="769"/>
        <w:jc w:val="both"/>
        <w:rPr>
          <w:rFonts w:ascii="Arial" w:hAnsi="Arial" w:cs="Arial"/>
          <w:sz w:val="22"/>
        </w:rPr>
      </w:pPr>
      <w:r>
        <w:rPr>
          <w:rFonts w:cs="Arial" w:ascii="Arial" w:hAnsi="Arial"/>
          <w:sz w:val="22"/>
        </w:rPr>
      </w:r>
    </w:p>
    <w:p>
      <w:pPr>
        <w:pStyle w:val="Normal"/>
        <w:autoSpaceDE w:val="false"/>
        <w:ind w:start="710" w:end="769"/>
        <w:jc w:val="both"/>
        <w:rPr/>
      </w:pPr>
      <w:r>
        <w:rPr>
          <w:rFonts w:cs="Arial" w:ascii="Arial" w:hAnsi="Arial"/>
          <w:sz w:val="22"/>
        </w:rPr>
        <w:t xml:space="preserve">In a recent agreement between the IS0 to CDWR, the “IOU Invoicing and BEEP/AS Payment Procedure” dated September 14, 2001 (“IS0-CDWR Payment Process”), posted on the IS0 Home Page and attached hereto in Appendix E, </w:t>
      </w:r>
      <w:r>
        <w:rPr>
          <w:rFonts w:cs="Arial" w:ascii="Arial" w:hAnsi="Arial"/>
          <w:sz w:val="22"/>
          <w:u w:val="single"/>
        </w:rPr>
        <w:t>CDWR has conditioned its payment to suppliers</w:t>
      </w:r>
      <w:r>
        <w:rPr>
          <w:rFonts w:cs="Arial" w:ascii="Arial" w:hAnsi="Arial"/>
          <w:sz w:val="22"/>
        </w:rPr>
        <w:t xml:space="preserve"> for CTs based on the IS0 providing to CDWR verification of such suppliers’ Generating Unit-specific costs, quantities supplied and time intervals of the transactions. Id. at 2. [footnote omitted] </w:t>
      </w:r>
      <w:r>
        <w:rPr>
          <w:rFonts w:cs="Arial" w:ascii="Arial" w:hAnsi="Arial"/>
          <w:sz w:val="22"/>
          <w:u w:val="single"/>
        </w:rPr>
        <w:t>Under the IS0 Tariff, such supplier-specific data ordinarily cannot be made available to any third party absent consent from the relevant supplier</w:t>
      </w:r>
      <w:r>
        <w:rPr>
          <w:rFonts w:cs="Arial" w:ascii="Arial" w:hAnsi="Arial"/>
          <w:sz w:val="22"/>
        </w:rPr>
        <w:t>. [Emphasis added.]</w:t>
      </w:r>
    </w:p>
    <w:p>
      <w:pPr>
        <w:pStyle w:val="Normal"/>
        <w:autoSpaceDE w:val="false"/>
        <w:ind w:start="710" w:end="769"/>
        <w:jc w:val="both"/>
        <w:rPr>
          <w:rFonts w:ascii="Arial" w:hAnsi="Arial" w:cs="Arial"/>
          <w:sz w:val="22"/>
        </w:rPr>
      </w:pPr>
      <w:r>
        <w:rPr>
          <w:rFonts w:cs="Arial" w:ascii="Arial" w:hAnsi="Arial"/>
          <w:sz w:val="22"/>
        </w:rPr>
      </w:r>
    </w:p>
    <w:p>
      <w:pPr>
        <w:pStyle w:val="Normal"/>
        <w:autoSpaceDE w:val="false"/>
        <w:spacing w:lineRule="auto" w:line="480"/>
        <w:ind w:firstLine="710" w:end="-12"/>
        <w:jc w:val="both"/>
        <w:rPr/>
      </w:pPr>
      <w:r>
        <w:rPr>
          <w:rFonts w:cs="Arial" w:ascii="Arial" w:hAnsi="Arial"/>
          <w:sz w:val="22"/>
        </w:rPr>
        <w:t xml:space="preserve">The October 12 filing appears to be, in effect, a thinly veiled plea by CAISO for assistance from the Commission.  As noted by the highlighted passages above, CAISO knows and acknowledges that the demands placed on it by CDWR/CERS are outside of the tariff and that the demands are harmful to the interests of other market participants. </w:t>
      </w:r>
      <w:r>
        <w:rPr>
          <w:rStyle w:val="FootnoteCharacters"/>
          <w:rStyle w:val="FootnoteReference"/>
          <w:rFonts w:cs="Arial" w:ascii="Arial" w:hAnsi="Arial"/>
          <w:sz w:val="22"/>
        </w:rPr>
        <w:footnoteReference w:id="3"/>
      </w:r>
      <w:r>
        <w:rPr>
          <w:rFonts w:cs="Arial" w:ascii="Arial" w:hAnsi="Arial"/>
          <w:sz w:val="22"/>
        </w:rPr>
        <w:t xml:space="preserve">  In effect, CAISO offers a “the devil made me do it” defense to its actions, concluding with some poignancy that, “The above-described ongoing requirements for nonpublic information place the IS0 in a difficult position.  To the extent that the IS0 must continue to fulfill its obligation to ensure reliable electric service to the IOUs’ retail End-Use Customers, the IS0 considers it has little choice but to comply with the need and requirements of its only creditworthy backer.  The IS0 urges understanding and forbearance on the Commission’ s part inasmuch as </w:t>
      </w:r>
      <w:r>
        <w:rPr>
          <w:rFonts w:cs="Arial" w:ascii="Arial" w:hAnsi="Arial"/>
          <w:sz w:val="22"/>
          <w:u w:val="single"/>
        </w:rPr>
        <w:t>the circumstances giving rise to the ISO’ s present position are outside the control and influence of the ISO</w:t>
      </w:r>
      <w:r>
        <w:rPr>
          <w:rFonts w:cs="Arial" w:ascii="Arial" w:hAnsi="Arial"/>
          <w:sz w:val="22"/>
        </w:rPr>
        <w:t>.” [Emphasis added.]  This final phrase is highly telling.  CAISO concedes that the demands of CDWR/CERS are outside its control and influence.  This is tantamount to an admission by CAISO that it no longer controls its own market, but that such control has instead passed to the State of California, acting through and by CDWR/CERS.</w:t>
      </w:r>
    </w:p>
    <w:p>
      <w:pPr>
        <w:pStyle w:val="Normal"/>
        <w:autoSpaceDE w:val="false"/>
        <w:spacing w:lineRule="auto" w:line="480"/>
        <w:ind w:firstLine="710" w:end="-12"/>
        <w:jc w:val="both"/>
        <w:rPr/>
      </w:pPr>
      <w:r>
        <w:rPr>
          <w:rFonts w:cs="Arial" w:ascii="Arial" w:hAnsi="Arial"/>
          <w:sz w:val="22"/>
        </w:rPr>
        <w:t>WPTF notes, however, that although CAISO may be powerless to act, this Commission is not.  It became apparent by the fall of 2000, that existing ISO stakeholder board was ineffective and not functioning properly.  In its November 1, 2000 Order,</w:t>
      </w:r>
      <w:r>
        <w:rPr>
          <w:rStyle w:val="FootnoteCharacters"/>
          <w:rFonts w:cs="Arial" w:ascii="Arial" w:hAnsi="Arial"/>
          <w:sz w:val="22"/>
        </w:rPr>
        <w:t xml:space="preserve"> </w:t>
      </w:r>
      <w:r>
        <w:rPr>
          <w:rStyle w:val="FootnoteCharacters"/>
          <w:rStyle w:val="FootnoteReference"/>
          <w:rFonts w:cs="Arial" w:ascii="Arial" w:hAnsi="Arial"/>
          <w:sz w:val="22"/>
        </w:rPr>
        <w:footnoteReference w:id="4"/>
      </w:r>
      <w:r>
        <w:rPr>
          <w:rFonts w:cs="Arial" w:ascii="Arial" w:hAnsi="Arial"/>
          <w:sz w:val="22"/>
        </w:rPr>
        <w:t xml:space="preserve"> the Commission therefore proposed to replace the existing Board with a non-stakeholder board.</w:t>
      </w:r>
      <w:r>
        <w:rPr>
          <w:rStyle w:val="FootnoteCharacters"/>
          <w:rStyle w:val="FootnoteReference"/>
          <w:rFonts w:cs="Arial" w:ascii="Arial" w:hAnsi="Arial"/>
          <w:sz w:val="22"/>
        </w:rPr>
        <w:footnoteReference w:id="5"/>
      </w:r>
      <w:r>
        <w:rPr>
          <w:rFonts w:cs="Arial" w:ascii="Arial" w:hAnsi="Arial"/>
          <w:sz w:val="22"/>
        </w:rPr>
        <w:t xml:space="preserve">  The Commission proposed the establishment of a new Board with experience in the operation and planning of transmission systems.  Finally, the Commission proposed that members were to be selected from a slate of candidates developed by an independent consultant. The November 1 Order also noted the painstaking deference that the Commission had accorded to the opinions of the State of California and its restructuring legislation.</w:t>
      </w:r>
    </w:p>
    <w:p>
      <w:pPr>
        <w:pStyle w:val="Normal"/>
        <w:autoSpaceDE w:val="false"/>
        <w:spacing w:lineRule="auto" w:line="480"/>
        <w:ind w:firstLine="710" w:end="-12"/>
        <w:jc w:val="both"/>
        <w:rPr>
          <w:rFonts w:ascii="Arial" w:hAnsi="Arial" w:cs="Arial"/>
          <w:sz w:val="22"/>
        </w:rPr>
      </w:pPr>
      <w:r>
        <w:rPr>
          <w:rFonts w:cs="Arial" w:ascii="Arial" w:hAnsi="Arial"/>
          <w:sz w:val="22"/>
        </w:rPr>
        <w:t xml:space="preserve">Subsequently, the Commission’s December 15 Order explicitly required the current ISO Board to be disbanded and a new board be seated, with its members selected independently.  The December 15 Order also stated the following:  </w:t>
      </w:r>
    </w:p>
    <w:p>
      <w:pPr>
        <w:pStyle w:val="Normal"/>
        <w:ind w:start="1440" w:end="1440"/>
        <w:jc w:val="both"/>
        <w:rPr>
          <w:rFonts w:ascii="Arial" w:hAnsi="Arial" w:cs="Arial"/>
          <w:sz w:val="22"/>
        </w:rPr>
      </w:pPr>
      <w:r>
        <w:rPr>
          <w:rFonts w:cs="Arial" w:ascii="Arial" w:hAnsi="Arial"/>
          <w:sz w:val="22"/>
        </w:rPr>
        <w:t xml:space="preserve">State selection of all the board members is not a reasonable position in light of our prior determinations and the current procedures which only allow the state to veto approximately half of the prospective candidates.  However, the Commission believes that the state may have an appropriate role in board selection as long as the independence of the board members can be assured (e.g., candidates were limited to the slate provided by the independent consultant).  Thus, the Commission will require, as proposed in the November 1 Order, that the ISO Governing Board be replaced with a non-stakeholder Board, and that the members selected to serve on the new Board be independent of market participants.  The ISO must continue the search process for new nonstakeholder board members. We also will establish further on-the-record procedures to discuss with state representatives the selection process for the new ISO Board. </w:t>
      </w:r>
      <w:r>
        <w:rPr>
          <w:rStyle w:val="FootnoteCharacters"/>
          <w:rStyle w:val="FootnoteReference"/>
          <w:rFonts w:cs="Arial" w:ascii="Arial" w:hAnsi="Arial"/>
          <w:sz w:val="22"/>
        </w:rPr>
        <w:footnoteReference w:id="6"/>
      </w:r>
    </w:p>
    <w:p>
      <w:pPr>
        <w:pStyle w:val="Normal"/>
        <w:ind w:start="1440" w:end="1440"/>
        <w:jc w:val="both"/>
        <w:rPr>
          <w:rFonts w:ascii="Arial" w:hAnsi="Arial" w:cs="Arial"/>
          <w:sz w:val="22"/>
        </w:rPr>
      </w:pPr>
      <w:r>
        <w:rPr>
          <w:rFonts w:cs="Arial" w:ascii="Arial" w:hAnsi="Arial"/>
          <w:sz w:val="22"/>
        </w:rPr>
      </w:r>
    </w:p>
    <w:p>
      <w:pPr>
        <w:pStyle w:val="BodyText2"/>
        <w:jc w:val="both"/>
        <w:rPr>
          <w:rFonts w:ascii="Arial" w:hAnsi="Arial" w:cs="Arial"/>
          <w:sz w:val="22"/>
        </w:rPr>
      </w:pPr>
      <w:r>
        <w:rPr>
          <w:rFonts w:cs="Arial" w:ascii="Arial" w:hAnsi="Arial"/>
          <w:i w:val="false"/>
          <w:iCs w:val="false"/>
          <w:sz w:val="22"/>
          <w:u w:val="none"/>
        </w:rPr>
        <w:t>The Commission therefore explicitly clarified that the governing boards of the ISO must be run independently of state influence.  If the ISO Board is to be truly independent of outside influences, then this independence should apply to both market participants and to government officials.  It is readily apparent that this is not the case.</w:t>
      </w:r>
    </w:p>
    <w:p>
      <w:pPr>
        <w:pStyle w:val="BodyTextIndent"/>
        <w:jc w:val="both"/>
        <w:rPr>
          <w:rFonts w:ascii="Arial" w:hAnsi="Arial" w:cs="Arial"/>
          <w:sz w:val="22"/>
        </w:rPr>
      </w:pPr>
      <w:r>
        <w:rPr>
          <w:rFonts w:cs="Arial" w:ascii="Arial" w:hAnsi="Arial"/>
          <w:sz w:val="22"/>
        </w:rPr>
        <w:t>WPTF sympathizes with CAISO management.  A qualified and competent management that knows better has been co-opted by the politics of a state government that has come to regard the CAISO as its personal plaything, and as a vehicle for partisan political action.  These abuses will continue until the Commission takes affirmative and direct action to enforce its prior governance orders.</w:t>
      </w:r>
    </w:p>
    <w:p>
      <w:pPr>
        <w:pStyle w:val="BodyTextIndent"/>
        <w:spacing w:lineRule="auto" w:line="240"/>
        <w:rPr>
          <w:rFonts w:ascii="Arial" w:hAnsi="Arial" w:cs="Arial"/>
          <w:sz w:val="22"/>
        </w:rPr>
      </w:pPr>
      <w:r>
        <w:rPr>
          <w:rFonts w:cs="Arial" w:ascii="Arial" w:hAnsi="Arial"/>
          <w:sz w:val="22"/>
        </w:rPr>
      </w:r>
    </w:p>
    <w:p>
      <w:pPr>
        <w:pStyle w:val="BodyTextIndent"/>
        <w:numPr>
          <w:ilvl w:val="0"/>
          <w:numId w:val="2"/>
        </w:numPr>
        <w:spacing w:lineRule="auto" w:line="240"/>
        <w:rPr>
          <w:rFonts w:ascii="Arial" w:hAnsi="Arial" w:cs="Arial"/>
          <w:b/>
          <w:bCs/>
          <w:sz w:val="22"/>
          <w:u w:val="single"/>
        </w:rPr>
      </w:pPr>
      <w:r>
        <w:rPr>
          <w:rFonts w:cs="Arial" w:ascii="Arial" w:hAnsi="Arial"/>
          <w:b/>
          <w:bCs/>
          <w:sz w:val="22"/>
          <w:u w:val="single"/>
        </w:rPr>
        <w:t xml:space="preserve">The New Settlement Approach Described in the October 12 Report Should Be Rejected by the Commission.  </w:t>
      </w:r>
    </w:p>
    <w:p>
      <w:pPr>
        <w:pStyle w:val="BodyTextIndent"/>
        <w:spacing w:lineRule="auto" w:line="240"/>
        <w:ind w:hanging="0" w:start="720" w:end="0"/>
        <w:rPr>
          <w:rFonts w:ascii="Arial" w:hAnsi="Arial" w:cs="Arial"/>
          <w:b/>
          <w:bCs/>
          <w:sz w:val="22"/>
          <w:u w:val="single"/>
        </w:rPr>
      </w:pPr>
      <w:r>
        <w:rPr>
          <w:rFonts w:cs="Arial" w:ascii="Arial" w:hAnsi="Arial"/>
          <w:b/>
          <w:bCs/>
          <w:sz w:val="22"/>
          <w:u w:val="single"/>
        </w:rPr>
      </w:r>
    </w:p>
    <w:p>
      <w:pPr>
        <w:pStyle w:val="BodyTextIndent"/>
        <w:jc w:val="both"/>
        <w:rPr>
          <w:rFonts w:ascii="Arial" w:hAnsi="Arial" w:cs="Arial"/>
          <w:sz w:val="22"/>
        </w:rPr>
      </w:pPr>
      <w:r>
        <w:rPr>
          <w:rFonts w:cs="Arial" w:ascii="Arial" w:hAnsi="Arial"/>
          <w:sz w:val="22"/>
        </w:rPr>
        <w:t xml:space="preserve">As noted above, CDWR/CERS has made multiple, repeated demands for preferential access to confidential market data and preferential treatment by CAISO.  In the October 12 Report, CAISO proffers an “agreement” between CDWR and the CAISO, which is attached as Appendix E to the Report.  The document indicates that CAISO would revise its existing settlement procedures in accordance with the dictates of CDWR/CERS.  </w:t>
      </w:r>
    </w:p>
    <w:p>
      <w:pPr>
        <w:pStyle w:val="BodyTextIndent"/>
        <w:jc w:val="both"/>
        <w:rPr>
          <w:rFonts w:ascii="Arial" w:hAnsi="Arial" w:cs="Arial"/>
          <w:sz w:val="22"/>
        </w:rPr>
      </w:pPr>
      <w:r>
        <w:rPr>
          <w:rFonts w:cs="Arial" w:ascii="Arial" w:hAnsi="Arial"/>
          <w:sz w:val="22"/>
        </w:rPr>
        <w:t xml:space="preserve">The state agency demands explicit control of the settlement process to an extent that the integrity and reliability of CAISO’s markets will be undermined.  The agreement presupposes that CDWR/CERS would enter into individual arrangements with other suppliers in the CAISO market.  These suppliers would be required to provide all settlement data to CDWR/CERS, and then CDWR/CERS would unilaterally choose which transactions it desired to assume on behalf the utilities.  Suppliers who elect not to participate in this coercive distortion of the CAISO markets would presumably not be paid.  </w:t>
      </w:r>
    </w:p>
    <w:p>
      <w:pPr>
        <w:pStyle w:val="BodyTextIndent"/>
        <w:jc w:val="both"/>
        <w:rPr>
          <w:rFonts w:ascii="Arial" w:hAnsi="Arial" w:cs="Arial"/>
          <w:sz w:val="22"/>
        </w:rPr>
      </w:pPr>
      <w:r>
        <w:rPr>
          <w:rFonts w:cs="Arial" w:ascii="Arial" w:hAnsi="Arial"/>
          <w:sz w:val="22"/>
        </w:rPr>
        <w:t>Once again, we border on farce.  The Commission must reject this “agreement” and direct that CAISO deal with CDWR/CERS in the same manner that it deals with all other market participants.  The provision of special market privileges to one participant is unfair, discriminatory and violative of the Commission’s continued efforts to provide for open and fair markets in which favoritism is afforded to none and equality is provided to all.</w:t>
      </w:r>
    </w:p>
    <w:p>
      <w:pPr>
        <w:pStyle w:val="BodyTextIndent"/>
        <w:jc w:val="both"/>
        <w:rPr>
          <w:rFonts w:ascii="Arial" w:hAnsi="Arial" w:cs="Arial"/>
          <w:sz w:val="22"/>
        </w:rPr>
      </w:pPr>
      <w:r>
        <w:rPr>
          <w:rFonts w:cs="Arial" w:ascii="Arial" w:hAnsi="Arial"/>
          <w:sz w:val="22"/>
        </w:rPr>
      </w:r>
    </w:p>
    <w:p>
      <w:pPr>
        <w:pStyle w:val="Normal"/>
        <w:spacing w:lineRule="auto" w:line="480"/>
        <w:ind w:firstLine="710" w:end="0"/>
        <w:rPr>
          <w:rFonts w:ascii="Arial" w:hAnsi="Arial" w:cs="Arial"/>
          <w:sz w:val="22"/>
        </w:rPr>
      </w:pPr>
      <w:r>
        <w:rPr>
          <w:rFonts w:cs="Arial" w:ascii="Arial" w:hAnsi="Arial"/>
          <w:b/>
          <w:sz w:val="22"/>
        </w:rPr>
        <w:t xml:space="preserve">C.  </w:t>
      </w:r>
      <w:r>
        <w:rPr>
          <w:rFonts w:cs="Arial" w:ascii="Arial" w:hAnsi="Arial"/>
          <w:b/>
          <w:sz w:val="22"/>
          <w:u w:val="single"/>
        </w:rPr>
        <w:t xml:space="preserve">Conclusion - </w:t>
      </w:r>
      <w:r>
        <w:rPr>
          <w:rFonts w:cs="Arial" w:ascii="Arial" w:hAnsi="Arial"/>
          <w:b/>
          <w:bCs/>
          <w:sz w:val="22"/>
          <w:u w:val="single"/>
        </w:rPr>
        <w:t>CAISO and the Theatre of the Absurd</w:t>
      </w:r>
      <w:r>
        <w:rPr>
          <w:rFonts w:cs="Arial" w:ascii="Arial" w:hAnsi="Arial"/>
          <w:b/>
          <w:bCs/>
          <w:sz w:val="22"/>
        </w:rPr>
        <w:t xml:space="preserve"> </w:t>
      </w:r>
    </w:p>
    <w:p>
      <w:pPr>
        <w:pStyle w:val="BodyTextIndent"/>
        <w:jc w:val="both"/>
        <w:rPr/>
      </w:pPr>
      <w:r>
        <w:rPr>
          <w:rFonts w:cs="Arial" w:ascii="Arial" w:hAnsi="Arial"/>
          <w:sz w:val="22"/>
        </w:rPr>
        <w:t xml:space="preserve">The “Theatre of the Absurd” is a term coined by the critic Martin Esslin for the work of a number of playwrights, mostly written in the 1950s and 1960s.  As noted by one essayist, “The ‘absurd’ plays by Samuel Beckett, Arthur Adamov, Eugene Ionesco, Jean Genet, Harold Pinter and others all share the view that man inhabits a universe with which he is out of key.  Its meaning is indecipherable and his place within it is without purpose.  He is bewildered, troubled and obscurely threatened. </w:t>
      </w:r>
      <w:r>
        <w:rPr>
          <w:rStyle w:val="FootnoteCharacters"/>
          <w:rStyle w:val="FootnoteReference"/>
          <w:rFonts w:cs="Arial" w:ascii="Arial" w:hAnsi="Arial"/>
          <w:sz w:val="22"/>
        </w:rPr>
        <w:footnoteReference w:id="7"/>
      </w:r>
      <w:r>
        <w:rPr>
          <w:rFonts w:cs="Arial" w:ascii="Arial" w:hAnsi="Arial"/>
          <w:sz w:val="22"/>
        </w:rPr>
        <w:t xml:space="preserve">  </w:t>
      </w:r>
    </w:p>
    <w:p>
      <w:pPr>
        <w:pStyle w:val="BodyTextIndent"/>
        <w:jc w:val="both"/>
        <w:rPr>
          <w:rFonts w:ascii="Arial" w:hAnsi="Arial" w:cs="Arial"/>
          <w:sz w:val="22"/>
        </w:rPr>
      </w:pPr>
      <w:r>
        <w:rPr>
          <w:rFonts w:cs="Arial" w:ascii="Arial" w:hAnsi="Arial"/>
          <w:sz w:val="22"/>
        </w:rPr>
        <w:t>CAISO market participants are very familiar with this feeling, especially since the State of California assumed effective governance of the agency and CDWR/CERS became the market’s largest participant.  Other market participants are bewildered by CAISO’s actions; they are troubled by the harm being done to the California market; and they are directly (and not obscurely) threatened by CDWR/CERS and its actions to co-opt the functioning of what is supposed to be a free and open market.</w:t>
      </w:r>
    </w:p>
    <w:p>
      <w:pPr>
        <w:pStyle w:val="BodyTextIndent"/>
        <w:jc w:val="both"/>
        <w:rPr>
          <w:rFonts w:ascii="Arial" w:hAnsi="Arial" w:cs="Arial"/>
          <w:sz w:val="22"/>
        </w:rPr>
      </w:pPr>
      <w:r>
        <w:rPr>
          <w:rFonts w:cs="Arial" w:ascii="Arial" w:hAnsi="Arial"/>
          <w:sz w:val="22"/>
        </w:rPr>
        <w:t>WPTF respectfully requests that the Commission (1) grant this motion to intervene; (2) reject the CAISO’s contention that it is in compliance with the creditworthiness requirements prescribed by the Commission; (3) order CAISO to bill and collect from CDWR all sums due and owing to other market participants and to suspend CDWR’s right to participate in CAISO markets should payment in full not be made by a date certain; reject the so-called “agreement” between CAISO and CDWR/CERS; (4) order that the provision of power for CDWR/CERS loads be scheduled and settled just as any other Scheduling Coordinator; and (5) take steps to enforce its prior governance orders and insist that the management and operation of CAISO be done in accord with such orders.</w:t>
      </w:r>
    </w:p>
    <w:p>
      <w:pPr>
        <w:pStyle w:val="Normal"/>
        <w:ind w:firstLine="5040" w:end="0"/>
        <w:rPr>
          <w:rFonts w:ascii="Arial" w:hAnsi="Arial" w:cs="Arial"/>
          <w:sz w:val="22"/>
        </w:rPr>
      </w:pPr>
      <w:r>
        <w:rPr>
          <w:rFonts w:cs="Arial" w:ascii="Arial" w:hAnsi="Arial"/>
          <w:sz w:val="22"/>
        </w:rPr>
        <w:t>Respectfully submitted,</w:t>
      </w:r>
    </w:p>
    <w:p>
      <w:pPr>
        <w:pStyle w:val="Normal"/>
        <w:ind w:firstLine="5040" w:end="0"/>
        <w:rPr>
          <w:rFonts w:ascii="Arial" w:hAnsi="Arial" w:cs="Arial"/>
          <w:sz w:val="22"/>
        </w:rPr>
      </w:pPr>
      <w:r>
        <w:rPr>
          <w:rFonts w:cs="Arial" w:ascii="Arial" w:hAnsi="Arial"/>
          <w:sz w:val="22"/>
        </w:rPr>
      </w:r>
    </w:p>
    <w:p>
      <w:pPr>
        <w:pStyle w:val="Normal"/>
        <w:ind w:firstLine="5040" w:end="0"/>
        <w:rPr>
          <w:rFonts w:ascii="Arial" w:hAnsi="Arial" w:cs="Arial"/>
          <w:sz w:val="22"/>
        </w:rPr>
      </w:pPr>
      <w:r>
        <w:rPr>
          <w:rFonts w:cs="Arial" w:ascii="Arial" w:hAnsi="Arial"/>
          <w:sz w:val="22"/>
        </w:rPr>
      </w:r>
    </w:p>
    <w:p>
      <w:pPr>
        <w:pStyle w:val="Normal"/>
        <w:ind w:firstLine="5040" w:end="0"/>
        <w:rPr>
          <w:rFonts w:ascii="Arial" w:hAnsi="Arial" w:cs="Arial"/>
          <w:sz w:val="22"/>
        </w:rPr>
      </w:pPr>
      <w:r>
        <w:rPr>
          <w:rFonts w:cs="Arial" w:ascii="Arial" w:hAnsi="Arial"/>
          <w:sz w:val="22"/>
        </w:rPr>
      </w:r>
    </w:p>
    <w:p>
      <w:pPr>
        <w:pStyle w:val="Normal"/>
        <w:ind w:firstLine="5040" w:end="0"/>
        <w:rPr>
          <w:rFonts w:ascii="Arial" w:hAnsi="Arial" w:cs="Arial"/>
          <w:sz w:val="22"/>
        </w:rPr>
      </w:pPr>
      <w:r>
        <w:rPr>
          <w:rFonts w:cs="Arial" w:ascii="Arial" w:hAnsi="Arial"/>
          <w:sz w:val="22"/>
        </w:rPr>
      </w:r>
    </w:p>
    <w:p>
      <w:pPr>
        <w:pStyle w:val="Normal"/>
        <w:ind w:firstLine="5040" w:end="0"/>
        <w:rPr>
          <w:rFonts w:ascii="Arial" w:hAnsi="Arial" w:cs="Arial"/>
          <w:sz w:val="22"/>
        </w:rPr>
      </w:pPr>
      <w:r>
        <w:rPr>
          <w:rFonts w:cs="Arial" w:ascii="Arial" w:hAnsi="Arial"/>
          <w:sz w:val="22"/>
        </w:rPr>
        <w:t>_______________________________</w:t>
      </w:r>
    </w:p>
    <w:p>
      <w:pPr>
        <w:pStyle w:val="Normal"/>
        <w:ind w:firstLine="1440" w:start="3600" w:end="0"/>
        <w:rPr>
          <w:rFonts w:ascii="Arial" w:hAnsi="Arial" w:cs="Arial"/>
          <w:sz w:val="22"/>
        </w:rPr>
      </w:pPr>
      <w:r>
        <w:rPr>
          <w:rFonts w:cs="Arial" w:ascii="Arial" w:hAnsi="Arial"/>
          <w:sz w:val="22"/>
        </w:rPr>
        <w:t>Daniel W. Douglass</w:t>
      </w:r>
    </w:p>
    <w:p>
      <w:pPr>
        <w:pStyle w:val="Normal"/>
        <w:ind w:firstLine="1440" w:start="3600" w:end="0"/>
        <w:rPr>
          <w:rFonts w:ascii="Arial" w:hAnsi="Arial" w:cs="Arial"/>
          <w:sz w:val="22"/>
        </w:rPr>
      </w:pPr>
      <w:r>
        <w:rPr>
          <w:rFonts w:cs="Arial" w:ascii="Arial" w:hAnsi="Arial"/>
          <w:sz w:val="22"/>
        </w:rPr>
        <w:t>5959 Topanga Canyon Blvd.  Suite 244</w:t>
      </w:r>
    </w:p>
    <w:p>
      <w:pPr>
        <w:pStyle w:val="Normal"/>
        <w:ind w:firstLine="1440" w:start="3600" w:end="0"/>
        <w:rPr>
          <w:rFonts w:ascii="Arial" w:hAnsi="Arial" w:cs="Arial"/>
          <w:sz w:val="22"/>
        </w:rPr>
      </w:pPr>
      <w:r>
        <w:rPr>
          <w:rFonts w:cs="Arial" w:ascii="Arial" w:hAnsi="Arial"/>
          <w:sz w:val="22"/>
        </w:rPr>
        <w:t>Woodland Hills, CA 91367</w:t>
      </w:r>
    </w:p>
    <w:p>
      <w:pPr>
        <w:pStyle w:val="Normal"/>
        <w:ind w:firstLine="1440" w:start="3600" w:end="0"/>
        <w:rPr>
          <w:rFonts w:ascii="Arial" w:hAnsi="Arial" w:cs="Arial"/>
          <w:sz w:val="22"/>
        </w:rPr>
      </w:pPr>
      <w:r>
        <w:rPr>
          <w:rFonts w:cs="Arial" w:ascii="Arial" w:hAnsi="Arial"/>
          <w:sz w:val="22"/>
        </w:rPr>
        <w:t xml:space="preserve">Telephone </w:t>
        <w:tab/>
        <w:t>(818) 596-2201</w:t>
      </w:r>
    </w:p>
    <w:p>
      <w:pPr>
        <w:pStyle w:val="Normal"/>
        <w:ind w:firstLine="5040" w:end="0"/>
        <w:rPr>
          <w:rFonts w:ascii="Arial" w:hAnsi="Arial" w:cs="Arial"/>
          <w:sz w:val="22"/>
        </w:rPr>
      </w:pPr>
      <w:r>
        <w:rPr>
          <w:rFonts w:cs="Arial" w:ascii="Arial" w:hAnsi="Arial"/>
          <w:sz w:val="22"/>
        </w:rPr>
        <w:t xml:space="preserve">Facsimile </w:t>
        <w:tab/>
        <w:t>(818) 346-6502</w:t>
      </w:r>
    </w:p>
    <w:p>
      <w:pPr>
        <w:pStyle w:val="Normal"/>
        <w:ind w:firstLine="5040" w:end="0"/>
        <w:rPr>
          <w:rFonts w:ascii="Arial" w:hAnsi="Arial" w:cs="Arial"/>
          <w:sz w:val="22"/>
        </w:rPr>
      </w:pPr>
      <w:r>
        <w:rPr>
          <w:rFonts w:cs="Arial" w:ascii="Arial" w:hAnsi="Arial"/>
          <w:sz w:val="22"/>
        </w:rPr>
      </w:r>
    </w:p>
    <w:p>
      <w:pPr>
        <w:pStyle w:val="Normal"/>
        <w:ind w:firstLine="5040" w:end="0"/>
        <w:rPr>
          <w:rFonts w:ascii="Arial" w:hAnsi="Arial" w:cs="Arial"/>
          <w:sz w:val="22"/>
        </w:rPr>
      </w:pPr>
      <w:r>
        <w:rPr>
          <w:rFonts w:cs="Arial" w:ascii="Arial" w:hAnsi="Arial"/>
          <w:sz w:val="22"/>
        </w:rPr>
        <w:t>Attorneys for the</w:t>
      </w:r>
    </w:p>
    <w:p>
      <w:pPr>
        <w:pStyle w:val="Normal"/>
        <w:ind w:firstLine="5040" w:end="0"/>
        <w:rPr>
          <w:rFonts w:ascii="Arial" w:hAnsi="Arial" w:cs="Arial"/>
          <w:sz w:val="22"/>
        </w:rPr>
      </w:pPr>
      <w:r>
        <w:rPr>
          <w:rFonts w:cs="Arial" w:ascii="Arial" w:hAnsi="Arial"/>
          <w:sz w:val="22"/>
        </w:rPr>
        <w:t>WESTERN POWER TRADING FORUM</w:t>
      </w:r>
    </w:p>
    <w:p>
      <w:pPr>
        <w:pStyle w:val="Normal"/>
        <w:ind w:firstLine="5040" w:end="0"/>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 xml:space="preserve">October 29, 2001 </w:t>
      </w:r>
      <w:r>
        <w:br w:type="page"/>
      </w:r>
    </w:p>
    <w:p>
      <w:pPr>
        <w:pStyle w:val="Normal"/>
        <w:rPr>
          <w:rFonts w:ascii="Arial" w:hAnsi="Arial" w:cs="Arial"/>
          <w:sz w:val="22"/>
        </w:rPr>
      </w:pPr>
      <w:r>
        <w:rPr>
          <w:rFonts w:cs="Arial" w:ascii="Arial" w:hAnsi="Arial"/>
          <w:sz w:val="22"/>
        </w:rPr>
      </w:r>
    </w:p>
    <w:p>
      <w:pPr>
        <w:pStyle w:val="DoubleSpacing"/>
        <w:jc w:val="center"/>
        <w:rPr>
          <w:rFonts w:ascii="Arial" w:hAnsi="Arial" w:cs="Arial"/>
          <w:sz w:val="22"/>
        </w:rPr>
      </w:pPr>
      <w:r>
        <w:rPr>
          <w:rFonts w:cs="Arial" w:ascii="Arial" w:hAnsi="Arial"/>
          <w:b/>
          <w:sz w:val="22"/>
        </w:rPr>
        <w:t>CERTIFICATE OF SERVICE</w:t>
      </w:r>
    </w:p>
    <w:p>
      <w:pPr>
        <w:pStyle w:val="SingleSpacing"/>
        <w:ind w:firstLine="720" w:end="0"/>
        <w:jc w:val="both"/>
        <w:rPr>
          <w:rFonts w:ascii="Arial" w:hAnsi="Arial" w:cs="Arial"/>
          <w:sz w:val="22"/>
        </w:rPr>
      </w:pPr>
      <w:r>
        <w:rPr>
          <w:rFonts w:cs="Arial" w:ascii="Arial" w:hAnsi="Arial"/>
          <w:sz w:val="22"/>
        </w:rPr>
      </w:r>
    </w:p>
    <w:p>
      <w:pPr>
        <w:pStyle w:val="SingleSpacing"/>
        <w:spacing w:lineRule="auto" w:line="360"/>
        <w:ind w:firstLine="720" w:end="0"/>
        <w:jc w:val="both"/>
        <w:rPr/>
      </w:pPr>
      <w:r>
        <w:rPr>
          <w:rFonts w:cs="Arial" w:ascii="Arial" w:hAnsi="Arial"/>
          <w:sz w:val="22"/>
        </w:rPr>
        <w:t>I hereby certify that I have this day served the foregoing document upon the following persons designated on the official service list compiled by the Secretary in Docket No. ER01-889-000</w:t>
      </w:r>
      <w:r>
        <w:rPr>
          <w:rFonts w:cs="Arial" w:ascii="Arial" w:hAnsi="Arial"/>
          <w:b/>
          <w:sz w:val="22"/>
        </w:rPr>
        <w:t xml:space="preserve"> </w:t>
      </w:r>
      <w:r>
        <w:rPr>
          <w:rFonts w:cs="Arial" w:ascii="Arial" w:hAnsi="Arial"/>
          <w:sz w:val="22"/>
        </w:rPr>
        <w:t>in accordance with the requirements of Rule 2010 of the Commission's Rules of Practice and Procedure, 18 C.F.R. §385.2010 (1997):</w:t>
      </w:r>
    </w:p>
    <w:p>
      <w:pPr>
        <w:pStyle w:val="DoubleSpacing"/>
        <w:rPr/>
      </w:pPr>
      <w:r>
        <w:rPr>
          <w:rFonts w:cs="Arial" w:ascii="Arial" w:hAnsi="Arial"/>
          <w:sz w:val="22"/>
        </w:rPr>
        <w:tab/>
        <w:t>Dated at Woodland Hills, California on this 29</w:t>
      </w:r>
      <w:r>
        <w:rPr>
          <w:rFonts w:cs="Arial" w:ascii="Arial" w:hAnsi="Arial"/>
          <w:sz w:val="22"/>
          <w:vertAlign w:val="superscript"/>
        </w:rPr>
        <w:t>th</w:t>
      </w:r>
      <w:r>
        <w:rPr>
          <w:rFonts w:cs="Arial" w:ascii="Arial" w:hAnsi="Arial"/>
          <w:sz w:val="22"/>
        </w:rPr>
        <w:t xml:space="preserve"> day of October, 2000.</w:t>
      </w:r>
    </w:p>
    <w:p>
      <w:pPr>
        <w:pStyle w:val="DoubleSpacing"/>
        <w:rPr>
          <w:rFonts w:ascii="Arial" w:hAnsi="Arial" w:cs="Arial"/>
          <w:sz w:val="22"/>
        </w:rPr>
      </w:pPr>
      <w:r>
        <w:rPr>
          <w:rFonts w:cs="Arial" w:ascii="Arial" w:hAnsi="Arial"/>
          <w:sz w:val="22"/>
        </w:rPr>
      </w:r>
    </w:p>
    <w:p>
      <w:pPr>
        <w:pStyle w:val="DoubleSpacing"/>
        <w:rPr>
          <w:rFonts w:ascii="Arial" w:hAnsi="Arial" w:cs="Arial"/>
          <w:sz w:val="22"/>
        </w:rPr>
      </w:pPr>
      <w:r>
        <w:rPr>
          <w:rFonts w:cs="Arial" w:ascii="Arial" w:hAnsi="Arial"/>
          <w:sz w:val="22"/>
        </w:rPr>
        <w:tab/>
        <w:tab/>
        <w:tab/>
        <w:tab/>
        <w:tab/>
        <w:tab/>
        <w:tab/>
        <w:tab/>
        <w:tab/>
        <w:tab/>
        <w:tab/>
        <w:tab/>
        <w:tab/>
        <w:tab/>
        <w:tab/>
        <w:tab/>
        <w:tab/>
        <w:tab/>
        <w:t>_________________________________</w:t>
      </w:r>
    </w:p>
    <w:p>
      <w:pPr>
        <w:pStyle w:val="Normal"/>
        <w:jc w:val="center"/>
        <w:rPr>
          <w:rFonts w:ascii="Arial" w:hAnsi="Arial" w:cs="Arial"/>
          <w:sz w:val="22"/>
        </w:rPr>
      </w:pPr>
      <w:r>
        <w:rPr>
          <w:rFonts w:cs="Arial" w:ascii="Arial" w:hAnsi="Arial"/>
          <w:sz w:val="22"/>
        </w:rPr>
        <w:tab/>
        <w:tab/>
        <w:t>Michelle Dangott</w:t>
      </w:r>
    </w:p>
    <w:sectPr>
      <w:headerReference w:type="default" r:id="rId2"/>
      <w:footerReference w:type="default" r:id="rId3"/>
      <w:footnotePr>
        <w:numFmt w:val="decimal"/>
      </w:footnotePr>
      <w:type w:val="nextPage"/>
      <w:pgSz w:w="12240" w:h="15840"/>
      <w:pgMar w:left="1440" w:right="1440" w:gutter="0" w:header="720" w:top="1440" w:footer="720" w:bottom="1440"/>
      <w:pgNumType w:fmt="decimal"/>
      <w:formProt w:val="false"/>
      <w:textDirection w:val="lrTb"/>
      <w:docGrid w:type="default" w:linePitch="9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2">
              <wp:simplePos x="0" y="0"/>
              <wp:positionH relativeFrom="margin">
                <wp:align>center</wp:align>
              </wp:positionH>
              <wp:positionV relativeFrom="paragraph">
                <wp:posOffset>635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rFonts w:ascii="Arial" w:hAnsi="Arial" w:cs="Arial"/>
        </w:rPr>
      </w:pPr>
      <w:r>
        <w:rPr>
          <w:rStyle w:val="FootnoteCharacters"/>
        </w:rPr>
        <w:footnoteRef/>
      </w:r>
      <w:r>
        <w:rPr>
          <w:rFonts w:cs="Arial" w:ascii="Arial" w:hAnsi="Arial"/>
        </w:rPr>
        <w:t xml:space="preserve"> </w:t>
      </w:r>
      <w:r>
        <w:rPr>
          <w:rFonts w:cs="Arial" w:ascii="Arial" w:hAnsi="Arial"/>
          <w:sz w:val="18"/>
        </w:rPr>
        <w:t>18 CFR §§ 385.211 and 385.214.</w:t>
      </w:r>
    </w:p>
    <w:p>
      <w:pPr>
        <w:pStyle w:val="FootnoteText"/>
        <w:rPr>
          <w:rFonts w:ascii="Arial" w:hAnsi="Arial" w:cs="Arial"/>
        </w:rPr>
      </w:pPr>
      <w:r>
        <w:rPr>
          <w:rFonts w:cs="Arial" w:ascii="Arial" w:hAnsi="Arial"/>
        </w:rPr>
      </w:r>
    </w:p>
  </w:footnote>
  <w:footnote w:id="3">
    <w:p>
      <w:pPr>
        <w:pStyle w:val="Normal"/>
        <w:autoSpaceDE w:val="false"/>
        <w:ind w:firstLine="710" w:end="-12"/>
        <w:jc w:val="both"/>
        <w:rPr/>
      </w:pPr>
      <w:r>
        <w:rPr>
          <w:rStyle w:val="FootnoteCharacters"/>
        </w:rPr>
        <w:footnoteRef/>
      </w:r>
      <w:r>
        <w:rPr/>
        <w:t xml:space="preserve"> </w:t>
      </w:r>
      <w:r>
        <w:rPr>
          <w:rFonts w:cs="Arial" w:ascii="Arial" w:hAnsi="Arial"/>
          <w:sz w:val="18"/>
        </w:rPr>
        <w:t>It is particularly ironic to noted that the justification offered by CAISO for these exceptional privileges afforded the State of California is that, “CDWR maintains that its review of data on specific transactions and a determination that those transactions were just and reasonable is necessary to assure the lowest cost for consumers. The CDWR can only perform such a “prudency review” of IS0 charges via access to confidential supplier-specific data, which may only come to the CDWR through the supplier entering into a confidentiality agreements (part of a ‘supplier settlement’) with CDWR or by the supplier authorizing the IS0 to provide to</w:t>
      </w:r>
      <w:r>
        <w:rPr>
          <w:rFonts w:cs="Arial" w:ascii="Arial" w:hAnsi="Arial"/>
        </w:rPr>
        <w:t xml:space="preserve"> </w:t>
      </w:r>
      <w:r>
        <w:rPr>
          <w:rFonts w:cs="Arial" w:ascii="Arial" w:hAnsi="Arial"/>
          <w:sz w:val="18"/>
        </w:rPr>
        <w:t xml:space="preserve">CDWR the supplier’s confidential data.”  The irony, of course, is that the CRWR has repeatedly maintained before the Public Utilities Commission of the State of California that that Constitutional agency has no right whatsoever to conduct a prudency review of the CDWR’s </w:t>
      </w:r>
      <w:r>
        <w:rPr>
          <w:rFonts w:cs="Arial" w:ascii="Arial" w:hAnsi="Arial"/>
          <w:sz w:val="18"/>
          <w:u w:val="single"/>
        </w:rPr>
        <w:t>own</w:t>
      </w:r>
      <w:r>
        <w:rPr>
          <w:rFonts w:cs="Arial" w:ascii="Arial" w:hAnsi="Arial"/>
          <w:sz w:val="18"/>
        </w:rPr>
        <w:t xml:space="preserve"> purchases!</w:t>
      </w:r>
    </w:p>
  </w:footnote>
  <w:footnote w:id="4">
    <w:p>
      <w:pPr>
        <w:pStyle w:val="FootnoteText"/>
        <w:ind w:firstLine="720" w:end="0"/>
        <w:rPr/>
      </w:pPr>
      <w:r>
        <w:rPr>
          <w:rStyle w:val="FootnoteCharacters"/>
        </w:rPr>
        <w:footnoteRef/>
      </w:r>
      <w:r>
        <w:rPr>
          <w:rFonts w:cs="Arial" w:ascii="Arial" w:hAnsi="Arial"/>
          <w:sz w:val="18"/>
        </w:rPr>
        <w:t xml:space="preserve"> </w:t>
      </w:r>
      <w:r>
        <w:rPr>
          <w:rFonts w:cs="Arial" w:ascii="Arial" w:hAnsi="Arial"/>
          <w:i/>
          <w:sz w:val="18"/>
        </w:rPr>
        <w:t xml:space="preserve">San Diego Gas &amp; Elec. Co., </w:t>
      </w:r>
      <w:r>
        <w:rPr>
          <w:rFonts w:cs="Arial" w:ascii="Arial" w:hAnsi="Arial"/>
          <w:sz w:val="18"/>
        </w:rPr>
        <w:t>93 FERC ¶ 61, 121 at 61, 363 (Nov. 1, 2000) (“November 1</w:t>
      </w:r>
      <w:r>
        <w:rPr>
          <w:rFonts w:cs="Arial" w:ascii="Arial" w:hAnsi="Arial"/>
          <w:sz w:val="18"/>
          <w:vertAlign w:val="superscript"/>
        </w:rPr>
        <w:t>st</w:t>
      </w:r>
      <w:r>
        <w:rPr>
          <w:rFonts w:cs="Arial" w:ascii="Arial" w:hAnsi="Arial"/>
          <w:sz w:val="18"/>
        </w:rPr>
        <w:t xml:space="preserve"> Order”).</w:t>
      </w:r>
    </w:p>
  </w:footnote>
  <w:footnote w:id="5">
    <w:p>
      <w:pPr>
        <w:pStyle w:val="FootnoteText"/>
        <w:ind w:firstLine="720" w:end="0"/>
        <w:rPr/>
      </w:pPr>
      <w:r>
        <w:rPr>
          <w:rStyle w:val="FootnoteCharacters"/>
        </w:rPr>
        <w:footnoteRef/>
      </w:r>
      <w:r>
        <w:rPr>
          <w:rFonts w:cs="Arial" w:ascii="Arial" w:hAnsi="Arial"/>
          <w:sz w:val="18"/>
        </w:rPr>
        <w:t xml:space="preserve"> </w:t>
      </w:r>
      <w:r>
        <w:rPr>
          <w:rFonts w:cs="Arial" w:ascii="Arial" w:hAnsi="Arial"/>
          <w:i/>
          <w:sz w:val="18"/>
        </w:rPr>
        <w:t xml:space="preserve">Id. </w:t>
      </w:r>
      <w:r>
        <w:rPr>
          <w:rFonts w:cs="Arial" w:ascii="Arial" w:hAnsi="Arial"/>
          <w:sz w:val="18"/>
        </w:rPr>
        <w:t>at 61, 364.</w:t>
      </w:r>
    </w:p>
  </w:footnote>
  <w:footnote w:id="6">
    <w:p>
      <w:pPr>
        <w:pStyle w:val="FootnoteText"/>
        <w:ind w:firstLine="720" w:end="0"/>
        <w:rPr/>
      </w:pPr>
      <w:r>
        <w:rPr>
          <w:rStyle w:val="FootnoteCharacters"/>
        </w:rPr>
        <w:footnoteRef/>
      </w:r>
      <w:r>
        <w:rPr>
          <w:rFonts w:cs="Arial" w:ascii="Arial" w:hAnsi="Arial"/>
          <w:sz w:val="18"/>
        </w:rPr>
        <w:t xml:space="preserve"> </w:t>
      </w:r>
      <w:r>
        <w:rPr>
          <w:rFonts w:cs="Arial" w:ascii="Arial" w:hAnsi="Arial"/>
          <w:sz w:val="18"/>
        </w:rPr>
        <w:t>December 15 Order [</w:t>
      </w:r>
      <w:r>
        <w:rPr>
          <w:rFonts w:cs="Arial" w:ascii="Arial" w:hAnsi="Arial"/>
          <w:i/>
          <w:sz w:val="18"/>
        </w:rPr>
        <w:t>mimeo</w:t>
      </w:r>
      <w:r>
        <w:rPr>
          <w:rFonts w:cs="Arial" w:ascii="Arial" w:hAnsi="Arial"/>
          <w:sz w:val="18"/>
        </w:rPr>
        <w:t>] at page 61.</w:t>
      </w:r>
    </w:p>
  </w:footnote>
  <w:footnote w:id="7">
    <w:p>
      <w:pPr>
        <w:pStyle w:val="FootnoteText"/>
        <w:ind w:firstLine="710" w:end="0"/>
        <w:rPr/>
      </w:pPr>
      <w:r>
        <w:rPr>
          <w:rStyle w:val="FootnoteCharacters"/>
        </w:rPr>
        <w:footnoteRef/>
      </w:r>
      <w:r>
        <w:rPr>
          <w:rFonts w:cs="Arial" w:ascii="Arial" w:hAnsi="Arial"/>
          <w:sz w:val="18"/>
        </w:rPr>
        <w:t xml:space="preserve"> </w:t>
      </w:r>
      <w:r>
        <w:rPr>
          <w:rFonts w:cs="Arial" w:ascii="Arial" w:hAnsi="Arial"/>
          <w:i/>
          <w:iCs/>
          <w:sz w:val="18"/>
        </w:rPr>
        <w:t>The Theatre Of The Absurd, the West and the East</w:t>
      </w:r>
      <w:r>
        <w:rPr>
          <w:rFonts w:cs="Arial" w:ascii="Arial" w:hAnsi="Arial"/>
          <w:sz w:val="18"/>
        </w:rPr>
        <w:t xml:space="preserve">, </w:t>
      </w:r>
      <w:r>
        <w:rPr>
          <w:rStyle w:val="Strong"/>
          <w:rFonts w:cs="Arial" w:ascii="Arial" w:hAnsi="Arial"/>
          <w:b w:val="false"/>
          <w:bCs w:val="false"/>
          <w:sz w:val="18"/>
        </w:rPr>
        <w:t>Dr. Jan Culík, 2000.</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pStyle w:val="Heading1"/>
      <w:numFmt w:val="upperRoman"/>
      <w:lvlText w:val="%1."/>
      <w:lvlJc w:val="start"/>
      <w:pPr>
        <w:tabs>
          <w:tab w:val="num" w:pos="1080"/>
        </w:tabs>
        <w:ind w:start="1080" w:hanging="720"/>
      </w:pPr>
      <w:rPr>
        <w:u w:val="none"/>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2">
    <w:lvl w:ilvl="0">
      <w:start w:val="2"/>
      <w:numFmt w:val="decimal"/>
      <w:lvlText w:val="%1."/>
      <w:lvlJc w:val="start"/>
      <w:pPr>
        <w:tabs>
          <w:tab w:val="num" w:pos="1080"/>
        </w:tabs>
        <w:ind w:start="1080" w:hanging="360"/>
      </w:pPr>
      <w:rPr>
        <w:u w:val="none"/>
      </w:rPr>
    </w:lvl>
  </w:abstractNum>
  <w:abstractNum w:abstractNumId="3">
    <w:lvl w:ilvl="0">
      <w:start w:val="1"/>
      <w:numFmt w:val="bullet"/>
      <w:lvlText w:val=""/>
      <w:lvlJc w:val="start"/>
      <w:pPr>
        <w:tabs>
          <w:tab w:val="num" w:pos="1545"/>
        </w:tabs>
        <w:ind w:start="1545"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tabs>
        <w:tab w:val="clear" w:pos="720"/>
        <w:tab w:val="left" w:pos="710" w:leader="none"/>
      </w:tabs>
      <w:spacing w:lineRule="auto" w:line="480"/>
      <w:ind w:hanging="0" w:start="710" w:end="0"/>
      <w:outlineLvl w:val="0"/>
    </w:pPr>
    <w:rPr>
      <w:b/>
      <w:bCs/>
      <w:u w:val="single"/>
    </w:rPr>
  </w:style>
  <w:style w:type="paragraph" w:styleId="Heading2">
    <w:name w:val="heading 2"/>
    <w:basedOn w:val="Normal"/>
    <w:next w:val="Normal"/>
    <w:qFormat/>
    <w:pPr>
      <w:keepNext w:val="true"/>
      <w:spacing w:lineRule="auto" w:line="480"/>
      <w:outlineLvl w:val="1"/>
    </w:pPr>
    <w:rPr>
      <w:i/>
      <w:iCs/>
      <w:u w:val="single"/>
    </w:rPr>
  </w:style>
  <w:style w:type="paragraph" w:styleId="Heading3">
    <w:name w:val="heading 3"/>
    <w:basedOn w:val="Normal"/>
    <w:next w:val="Normal"/>
    <w:qFormat/>
    <w:pPr>
      <w:keepNext w:val="true"/>
      <w:jc w:val="center"/>
      <w:outlineLvl w:val="2"/>
    </w:pPr>
    <w:rPr>
      <w:b/>
    </w:rPr>
  </w:style>
  <w:style w:type="paragraph" w:styleId="Heading4">
    <w:name w:val="heading 4"/>
    <w:basedOn w:val="Normal"/>
    <w:next w:val="Normal"/>
    <w:qFormat/>
    <w:pPr>
      <w:keepNext w:val="true"/>
      <w:spacing w:lineRule="auto" w:line="480"/>
      <w:jc w:val="both"/>
      <w:outlineLvl w:val="3"/>
    </w:pPr>
    <w:rPr>
      <w:rFonts w:ascii="Arial" w:hAnsi="Arial" w:cs="Arial"/>
      <w:b/>
      <w:bCs/>
      <w:u w:val="single"/>
    </w:rPr>
  </w:style>
  <w:style w:type="character" w:styleId="WW8Num1z0">
    <w:name w:val="WW8Num1z0"/>
    <w:qFormat/>
    <w:rPr>
      <w:u w:val="none"/>
    </w:rPr>
  </w:style>
  <w:style w:type="character" w:styleId="WW8Num2z0">
    <w:name w:val="WW8Num2z0"/>
    <w:qFormat/>
    <w:rPr/>
  </w:style>
  <w:style w:type="character" w:styleId="WW8Num3z0">
    <w:name w:val="WW8Num3z0"/>
    <w:qFormat/>
    <w:rPr/>
  </w:style>
  <w:style w:type="character" w:styleId="WW8Num4z0">
    <w:name w:val="WW8Num4z0"/>
    <w:qFormat/>
    <w:rPr>
      <w:u w:val="none"/>
    </w:rPr>
  </w:style>
  <w:style w:type="character" w:styleId="WW8Num5z0">
    <w:name w:val="WW8Num5z0"/>
    <w:qFormat/>
    <w:rPr/>
  </w:style>
  <w:style w:type="character" w:styleId="WW8Num6z0">
    <w:name w:val="WW8Num6z0"/>
    <w:qFormat/>
    <w:rPr>
      <w:rFonts w:ascii="Symbol" w:hAnsi="Symbol" w:cs="Symbol"/>
    </w:rPr>
  </w:style>
  <w:style w:type="character" w:styleId="WW8Num7z0">
    <w:name w:val="WW8Num7z0"/>
    <w:qFormat/>
    <w:rPr/>
  </w:style>
  <w:style w:type="character" w:styleId="WW8Num8z0">
    <w:name w:val="WW8Num8z0"/>
    <w:qFormat/>
    <w:rPr/>
  </w:style>
  <w:style w:type="character" w:styleId="WW8Num9z0">
    <w:name w:val="WW8Num9z0"/>
    <w:qFormat/>
    <w:rPr>
      <w:u w:val="none"/>
    </w:rPr>
  </w:style>
  <w:style w:type="character" w:styleId="WW8Num10z0">
    <w:name w:val="WW8Num10z0"/>
    <w:qFormat/>
    <w:rPr/>
  </w:style>
  <w:style w:type="character" w:styleId="WW8Num11z0">
    <w:name w:val="WW8Num11z0"/>
    <w:qFormat/>
    <w:rPr/>
  </w:style>
  <w:style w:type="character" w:styleId="WW8Num13z0">
    <w:name w:val="WW8Num13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CommentReference">
    <w:name w:val="Comment Reference"/>
    <w:basedOn w:val="DefaultParagraphFont"/>
    <w:qFormat/>
    <w:rPr>
      <w:sz w:val="16"/>
      <w:szCs w:val="16"/>
    </w:rPr>
  </w:style>
  <w:style w:type="character" w:styleId="Strong">
    <w:name w:val="Strong"/>
    <w:basedOn w:val="DefaultParagraphFont"/>
    <w:qFormat/>
    <w:rPr>
      <w:b/>
      <w:bCs/>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480"/>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uto" w:line="480"/>
      <w:ind w:firstLine="720" w:start="0" w:end="0"/>
    </w:pPr>
    <w:rPr/>
  </w:style>
  <w:style w:type="paragraph" w:styleId="footnotetex">
    <w:name w:val="footnote tex"/>
    <w:qFormat/>
    <w:pPr>
      <w:widowControl w:val="false"/>
      <w:autoSpaceDE w:val="false"/>
      <w:bidi w:val="0"/>
    </w:pPr>
    <w:rPr>
      <w:rFonts w:ascii="Courier" w:hAnsi="Courier" w:eastAsia="Times New Roman" w:cs="Courier"/>
      <w:color w:val="auto"/>
      <w:sz w:val="24"/>
      <w:szCs w:val="24"/>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 w:type="paragraph" w:styleId="doubleindent">
    <w:name w:val="double indent"/>
    <w:basedOn w:val="BodyTextIndent"/>
    <w:qFormat/>
    <w:pPr>
      <w:spacing w:lineRule="auto" w:line="240"/>
      <w:ind w:hanging="0" w:start="710" w:end="769"/>
    </w:pPr>
    <w:rPr>
      <w:szCs w:val="26"/>
    </w:rPr>
  </w:style>
  <w:style w:type="paragraph" w:styleId="CommentText">
    <w:name w:val="Comment Text"/>
    <w:basedOn w:val="Normal"/>
    <w:qFormat/>
    <w:pPr/>
    <w:rPr>
      <w:sz w:val="20"/>
      <w:szCs w:val="20"/>
    </w:rPr>
  </w:style>
  <w:style w:type="paragraph" w:styleId="blockindent">
    <w:name w:val="block indent"/>
    <w:basedOn w:val="Normal"/>
    <w:qFormat/>
    <w:pPr>
      <w:spacing w:lineRule="auto" w:line="480"/>
      <w:ind w:firstLine="720" w:start="0" w:end="0"/>
    </w:pPr>
    <w:rPr/>
  </w:style>
  <w:style w:type="paragraph" w:styleId="BodyText2">
    <w:name w:val="Body Text 2"/>
    <w:basedOn w:val="Normal"/>
    <w:qFormat/>
    <w:pPr>
      <w:spacing w:lineRule="auto" w:line="480"/>
    </w:pPr>
    <w:rPr>
      <w:i/>
      <w:iCs/>
      <w:u w:val="single"/>
    </w:rPr>
  </w:style>
  <w:style w:type="paragraph" w:styleId="Header">
    <w:name w:val="header"/>
    <w:basedOn w:val="Normal"/>
    <w:pPr>
      <w:tabs>
        <w:tab w:val="clear" w:pos="720"/>
        <w:tab w:val="center" w:pos="4320" w:leader="none"/>
        <w:tab w:val="right" w:pos="8640" w:leader="none"/>
      </w:tabs>
    </w:pPr>
    <w:rPr/>
  </w:style>
  <w:style w:type="paragraph" w:styleId="BodyTextIndent2">
    <w:name w:val="Body Text Indent 2"/>
    <w:basedOn w:val="Normal"/>
    <w:qFormat/>
    <w:pPr>
      <w:spacing w:lineRule="auto" w:line="480"/>
      <w:ind w:hanging="0" w:start="710" w:end="0"/>
    </w:pPr>
    <w:rPr/>
  </w:style>
  <w:style w:type="paragraph" w:styleId="QA">
    <w:name w:val="Q&amp;A"/>
    <w:basedOn w:val="Normal"/>
    <w:qFormat/>
    <w:pPr>
      <w:widowControl w:val="false"/>
      <w:tabs>
        <w:tab w:val="clear" w:pos="720"/>
        <w:tab w:val="left" w:pos="1080" w:leader="none"/>
      </w:tabs>
      <w:overflowPunct w:val="false"/>
      <w:autoSpaceDE w:val="false"/>
      <w:spacing w:lineRule="auto" w:line="360"/>
      <w:ind w:hanging="360" w:start="720" w:end="0"/>
      <w:textAlignment w:val="baseline"/>
    </w:pPr>
    <w:rPr>
      <w:spacing w:val="-3"/>
      <w:szCs w:val="20"/>
    </w:rPr>
  </w:style>
  <w:style w:type="paragraph" w:styleId="DoubleSpacing">
    <w:name w:val="Double Spacing"/>
    <w:basedOn w:val="Normal"/>
    <w:qFormat/>
    <w:pPr>
      <w:widowControl w:val="false"/>
      <w:overflowPunct w:val="false"/>
      <w:autoSpaceDE w:val="false"/>
      <w:spacing w:lineRule="exact" w:line="480"/>
      <w:textAlignment w:val="baseline"/>
    </w:pPr>
    <w:rPr>
      <w:rFonts w:ascii="Courier New" w:hAnsi="Courier New" w:cs="Courier New"/>
      <w:szCs w:val="20"/>
    </w:rPr>
  </w:style>
  <w:style w:type="paragraph" w:styleId="SingleSpacing">
    <w:name w:val="Single Spacing"/>
    <w:basedOn w:val="Normal"/>
    <w:qFormat/>
    <w:pPr>
      <w:widowControl w:val="false"/>
      <w:overflowPunct w:val="false"/>
      <w:autoSpaceDE w:val="false"/>
      <w:spacing w:lineRule="exact" w:line="240"/>
      <w:textAlignment w:val="baseline"/>
    </w:pPr>
    <w:rPr>
      <w:rFonts w:ascii="Courier New" w:hAnsi="Courier New" w:cs="Courier New"/>
      <w:szCs w:val="20"/>
    </w:rPr>
  </w:style>
  <w:style w:type="paragraph" w:styleId="BodyTextIndent3">
    <w:name w:val="Body Text Indent 3"/>
    <w:basedOn w:val="Normal"/>
    <w:qFormat/>
    <w:pPr>
      <w:ind w:firstLine="710" w:start="0" w:end="0"/>
      <w:jc w:val="both"/>
    </w:pPr>
    <w:rPr>
      <w:rFonts w:ascii="Arial" w:hAnsi="Arial" w:cs="Arial"/>
      <w:sz w:val="20"/>
    </w:rPr>
  </w:style>
  <w:style w:type="paragraph" w:styleId="NormalWeb">
    <w:name w:val="Normal (Web)"/>
    <w:basedOn w:val="Normal"/>
    <w:qFormat/>
    <w:pPr>
      <w:spacing w:before="100" w:after="100"/>
    </w:pPr>
    <w:rPr/>
  </w:style>
  <w:style w:type="paragraph" w:styleId="BlockText">
    <w:name w:val="Block Text"/>
    <w:basedOn w:val="Normal"/>
    <w:qFormat/>
    <w:pPr>
      <w:autoSpaceDE w:val="false"/>
      <w:ind w:hanging="0" w:start="710" w:end="698"/>
    </w:pPr>
    <w:rPr>
      <w:rFonts w:ascii="Arial" w:hAnsi="Arial" w:cs="Arial"/>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853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2001-10-27T02:26:00Z</dcterms:created>
  <dc:creator>Andrew Brown</dc:creator>
  <dc:description/>
  <dc:language>en-CA</dc:language>
  <cp:lastModifiedBy>Daniel W. Douglass</cp:lastModifiedBy>
  <cp:lastPrinted>2001-09-26T12:30:00Z</cp:lastPrinted>
  <dcterms:modified xsi:type="dcterms:W3CDTF">2001-10-27T16:50:00Z</dcterms:modified>
  <cp:revision>48</cp:revision>
  <dc:subject/>
  <dc:title>UNITED STATES OF AMERICA</dc:title>
</cp:coreProperties>
</file>