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22"/>
        </w:rPr>
      </w:pPr>
      <w:r>
        <w:rPr>
          <w:rFonts w:cs="Arial" w:ascii="Arial" w:hAnsi="Arial"/>
          <w:b/>
          <w:bCs/>
          <w:sz w:val="22"/>
        </w:rPr>
        <w:t>UNITED STATES OF AMERICA</w:t>
      </w:r>
    </w:p>
    <w:p>
      <w:pPr>
        <w:pStyle w:val="Heading3"/>
        <w:rPr>
          <w:rFonts w:ascii="Arial" w:hAnsi="Arial" w:cs="Arial"/>
          <w:bCs/>
          <w:sz w:val="22"/>
        </w:rPr>
      </w:pPr>
      <w:r>
        <w:rPr>
          <w:rFonts w:cs="Arial" w:ascii="Arial" w:hAnsi="Arial"/>
          <w:bCs/>
          <w:sz w:val="22"/>
        </w:rPr>
        <w:t>BEFORE THE</w:t>
      </w:r>
    </w:p>
    <w:p>
      <w:pPr>
        <w:pStyle w:val="Normal"/>
        <w:jc w:val="center"/>
        <w:rPr>
          <w:rFonts w:ascii="Arial" w:hAnsi="Arial" w:cs="Arial"/>
          <w:b/>
          <w:bCs/>
          <w:sz w:val="22"/>
        </w:rPr>
      </w:pPr>
      <w:r>
        <w:rPr>
          <w:rFonts w:cs="Arial" w:ascii="Arial" w:hAnsi="Arial"/>
          <w:b/>
          <w:bCs/>
          <w:sz w:val="22"/>
        </w:rPr>
        <w:t>FEDERAL ENERGY REGULATORY COMMISSION</w:t>
      </w:r>
    </w:p>
    <w:p>
      <w:pPr>
        <w:pStyle w:val="Normal"/>
        <w:tabs>
          <w:tab w:val="left" w:pos="720" w:leader="none"/>
        </w:tabs>
        <w:autoSpaceDE w:val="false"/>
        <w:ind w:start="1080" w:end="0"/>
        <w:rPr>
          <w:rFonts w:ascii="Arial" w:hAnsi="Arial" w:cs="Arial"/>
          <w:b/>
          <w:bCs/>
          <w:sz w:val="22"/>
        </w:rPr>
      </w:pPr>
      <w:r>
        <w:rPr>
          <w:rFonts w:cs="Arial" w:ascii="Arial" w:hAnsi="Arial"/>
          <w:b/>
          <w:bCs/>
          <w:sz w:val="22"/>
        </w:rPr>
      </w:r>
    </w:p>
    <w:tbl>
      <w:tblPr>
        <w:tblpPr w:vertAnchor="text" w:horzAnchor="page" w:leftFromText="180" w:rightFromText="180" w:tblpX="1628" w:tblpY="239"/>
        <w:tblW w:w="4465" w:type="dxa"/>
        <w:jc w:val="start"/>
        <w:tblInd w:w="108" w:type="dxa"/>
        <w:tblLayout w:type="fixed"/>
        <w:tblCellMar>
          <w:top w:w="0" w:type="dxa"/>
          <w:start w:w="108" w:type="dxa"/>
          <w:bottom w:w="0" w:type="dxa"/>
          <w:end w:w="108" w:type="dxa"/>
        </w:tblCellMar>
      </w:tblPr>
      <w:tblGrid>
        <w:gridCol w:w="4465"/>
      </w:tblGrid>
      <w:tr>
        <w:trPr>
          <w:trHeight w:val="3593" w:hRule="atLeast"/>
        </w:trPr>
        <w:tc>
          <w:tcPr>
            <w:tcW w:w="4465" w:type="dxa"/>
            <w:tcBorders>
              <w:top w:val="single" w:sz="4" w:space="0" w:color="000000"/>
              <w:bottom w:val="single" w:sz="4" w:space="0" w:color="000000"/>
              <w:end w:val="single" w:sz="4" w:space="0" w:color="000000"/>
            </w:tcBorders>
          </w:tcPr>
          <w:p>
            <w:pPr>
              <w:pStyle w:val="Normal"/>
              <w:snapToGrid w:val="false"/>
              <w:rPr>
                <w:rFonts w:ascii="Arial" w:hAnsi="Arial" w:cs="Arial"/>
                <w:sz w:val="22"/>
                <w:lang w:val="en-CA"/>
              </w:rPr>
            </w:pPr>
            <w:r>
              <w:rPr>
                <w:rFonts w:cs="Arial" w:ascii="Arial" w:hAnsi="Arial"/>
                <w:sz w:val="22"/>
                <w:lang w:val="en-CA"/>
              </w:rPr>
            </w:r>
          </w:p>
          <w:p>
            <w:pPr>
              <w:pStyle w:val="Normal"/>
              <w:rPr/>
            </w:pPr>
            <w:r>
              <w:rPr>
                <w:rFonts w:cs="Arial" w:ascii="Arial" w:hAnsi="Arial"/>
                <w:sz w:val="22"/>
                <w:lang w:val="en-CA"/>
              </w:rPr>
            </w:r>
            <w:r>
              <w:rPr>
                <w:rFonts w:cs="Arial" w:ascii="Arial" w:hAnsi="Arial"/>
                <w:color w:val="000000"/>
                <w:sz w:val="22"/>
                <w:szCs w:val="26"/>
              </w:rPr>
              <w:t>Reliant Energy Power Generation, Inc.</w:t>
            </w:r>
          </w:p>
          <w:p>
            <w:pPr>
              <w:pStyle w:val="Normal"/>
              <w:rPr>
                <w:rFonts w:ascii="Arial" w:hAnsi="Arial" w:cs="Arial"/>
                <w:color w:val="000000"/>
                <w:sz w:val="22"/>
                <w:szCs w:val="26"/>
              </w:rPr>
            </w:pPr>
            <w:r>
              <w:rPr>
                <w:rFonts w:cs="Arial" w:ascii="Arial" w:hAnsi="Arial"/>
                <w:color w:val="000000"/>
                <w:sz w:val="22"/>
                <w:szCs w:val="26"/>
              </w:rPr>
              <w:t>Reliant Energy Services, Inc.,</w:t>
              <w:tab/>
            </w:r>
          </w:p>
          <w:p>
            <w:pPr>
              <w:pStyle w:val="Normal"/>
              <w:rPr>
                <w:rFonts w:ascii="Arial" w:hAnsi="Arial" w:cs="Arial"/>
                <w:color w:val="000000"/>
                <w:sz w:val="22"/>
                <w:szCs w:val="26"/>
              </w:rPr>
            </w:pPr>
            <w:r>
              <w:rPr>
                <w:rFonts w:cs="Arial" w:ascii="Arial" w:hAnsi="Arial"/>
                <w:color w:val="000000"/>
                <w:sz w:val="22"/>
                <w:szCs w:val="26"/>
              </w:rPr>
              <w:t>Mirant Americas Energy Marketing, LP,</w:t>
            </w:r>
          </w:p>
          <w:p>
            <w:pPr>
              <w:pStyle w:val="Normal"/>
              <w:rPr>
                <w:rFonts w:ascii="Arial" w:hAnsi="Arial" w:cs="Arial"/>
                <w:color w:val="000000"/>
                <w:sz w:val="22"/>
                <w:szCs w:val="26"/>
              </w:rPr>
            </w:pPr>
            <w:r>
              <w:rPr>
                <w:rFonts w:cs="Arial" w:ascii="Arial" w:hAnsi="Arial"/>
                <w:color w:val="000000"/>
                <w:sz w:val="22"/>
                <w:szCs w:val="26"/>
              </w:rPr>
              <w:t>and Mirant California,</w:t>
              <w:tab/>
            </w:r>
          </w:p>
          <w:p>
            <w:pPr>
              <w:pStyle w:val="Normal"/>
              <w:rPr>
                <w:rFonts w:ascii="Arial" w:hAnsi="Arial" w:cs="Arial"/>
                <w:color w:val="000000"/>
                <w:sz w:val="22"/>
                <w:szCs w:val="26"/>
              </w:rPr>
            </w:pPr>
            <w:r>
              <w:rPr>
                <w:rFonts w:cs="Arial" w:ascii="Arial" w:hAnsi="Arial"/>
                <w:color w:val="000000"/>
                <w:sz w:val="22"/>
                <w:szCs w:val="26"/>
              </w:rPr>
              <w:tab/>
              <w:tab/>
              <w:tab/>
              <w:tab/>
              <w:t>Complainants</w:t>
            </w:r>
          </w:p>
          <w:p>
            <w:pPr>
              <w:pStyle w:val="Normal"/>
              <w:rPr>
                <w:rFonts w:ascii="Arial" w:hAnsi="Arial" w:cs="Arial"/>
                <w:color w:val="000000"/>
                <w:sz w:val="22"/>
                <w:szCs w:val="26"/>
              </w:rPr>
            </w:pPr>
            <w:r>
              <w:rPr>
                <w:rFonts w:cs="Arial" w:ascii="Arial" w:hAnsi="Arial"/>
                <w:color w:val="000000"/>
                <w:sz w:val="22"/>
                <w:szCs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rFonts w:ascii="Arial" w:hAnsi="Arial" w:cs="Arial"/>
                <w:color w:val="000000"/>
                <w:sz w:val="22"/>
                <w:szCs w:val="26"/>
              </w:rPr>
            </w:pPr>
            <w:r>
              <w:rPr>
                <w:rFonts w:cs="Arial" w:ascii="Arial" w:hAnsi="Arial"/>
                <w:color w:val="000000"/>
                <w:sz w:val="22"/>
                <w:szCs w:val="26"/>
              </w:rPr>
              <w:tab/>
              <w:tab/>
              <w:tab/>
              <w:t>v.</w:t>
              <w:tab/>
              <w:tab/>
              <w:tab/>
              <w:tab/>
              <w:tab/>
              <w:t>Docket No. EL02-7-000</w:t>
            </w:r>
          </w:p>
          <w:p>
            <w:pPr>
              <w:pStyle w:val="Normal"/>
              <w:rPr>
                <w:rFonts w:ascii="Arial" w:hAnsi="Arial" w:cs="Arial"/>
                <w:color w:val="000000"/>
                <w:sz w:val="22"/>
                <w:szCs w:val="26"/>
              </w:rPr>
            </w:pPr>
            <w:r>
              <w:rPr>
                <w:rFonts w:eastAsia="Arial" w:cs="Arial" w:ascii="Arial" w:hAnsi="Arial"/>
                <w:color w:val="000000"/>
                <w:sz w:val="22"/>
                <w:szCs w:val="26"/>
              </w:rPr>
              <w:t xml:space="preserve">     </w:t>
            </w:r>
            <w:r>
              <w:rPr>
                <w:rFonts w:cs="Arial" w:ascii="Arial" w:hAnsi="Arial"/>
                <w:color w:val="000000"/>
                <w:sz w:val="22"/>
                <w:szCs w:val="26"/>
              </w:rPr>
              <w:tab/>
            </w:r>
          </w:p>
          <w:p>
            <w:pPr>
              <w:pStyle w:val="Normal"/>
              <w:rPr>
                <w:rFonts w:ascii="Arial" w:hAnsi="Arial" w:cs="Arial"/>
                <w:color w:val="000000"/>
                <w:sz w:val="22"/>
                <w:szCs w:val="26"/>
              </w:rPr>
            </w:pPr>
            <w:r>
              <w:rPr>
                <w:rFonts w:cs="Arial" w:ascii="Arial" w:hAnsi="Arial"/>
                <w:color w:val="000000"/>
                <w:sz w:val="22"/>
                <w:szCs w:val="26"/>
              </w:rPr>
              <w:t>California Independent System Operator  Corporation</w:t>
              <w:tab/>
            </w:r>
          </w:p>
          <w:p>
            <w:pPr>
              <w:pStyle w:val="Normal"/>
              <w:rPr>
                <w:rFonts w:ascii="Arial" w:hAnsi="Arial" w:cs="Arial"/>
                <w:color w:val="000000"/>
                <w:sz w:val="22"/>
                <w:szCs w:val="26"/>
              </w:rPr>
            </w:pPr>
            <w:r>
              <w:rPr>
                <w:rFonts w:cs="Arial" w:ascii="Arial" w:hAnsi="Arial"/>
                <w:color w:val="000000"/>
                <w:sz w:val="22"/>
                <w:szCs w:val="26"/>
              </w:rPr>
              <w:tab/>
              <w:tab/>
              <w:tab/>
              <w:tab/>
              <w:t>Respondent</w:t>
            </w:r>
          </w:p>
          <w:p>
            <w:pPr>
              <w:pStyle w:val="Normal"/>
              <w:rPr>
                <w:rFonts w:ascii="Arial" w:hAnsi="Arial" w:cs="Arial"/>
                <w:color w:val="000000"/>
                <w:sz w:val="22"/>
                <w:szCs w:val="26"/>
                <w:lang w:val="en-CA"/>
              </w:rPr>
            </w:pPr>
            <w:r>
              <w:rPr>
                <w:rFonts w:cs="Arial" w:ascii="Arial" w:hAnsi="Arial"/>
                <w:color w:val="000000"/>
                <w:sz w:val="22"/>
                <w:szCs w:val="26"/>
                <w:lang w:val="en-CA"/>
              </w:rPr>
            </w:r>
          </w:p>
        </w:tc>
      </w:tr>
    </w:tbl>
    <w:p>
      <w:pPr>
        <w:pStyle w:val="Normal"/>
        <w:rPr>
          <w:rFonts w:ascii="Arial" w:hAnsi="Arial" w:cs="Arial"/>
          <w:sz w:val="22"/>
          <w:lang w:val="en-CA"/>
        </w:rPr>
      </w:pPr>
      <w:r>
        <w:rPr>
          <w:rFonts w:cs="Arial" w:ascii="Arial" w:hAnsi="Arial"/>
          <w:sz w:val="22"/>
          <w:lang w:val="en-CA"/>
        </w:rPr>
      </w:r>
    </w:p>
    <w:p>
      <w:pPr>
        <w:pStyle w:val="Normal"/>
        <w:jc w:val="center"/>
        <w:rPr>
          <w:rFonts w:ascii="Arial" w:hAnsi="Arial" w:cs="Arial"/>
          <w:b/>
          <w:sz w:val="22"/>
          <w:lang w:val="en-CA"/>
        </w:rPr>
      </w:pPr>
      <w:r>
        <w:rPr>
          <w:rFonts w:cs="Arial" w:ascii="Arial" w:hAnsi="Arial"/>
          <w:b/>
          <w:sz w:val="22"/>
          <w:lang w:val="en-CA"/>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color w:val="000000"/>
          <w:sz w:val="22"/>
          <w:szCs w:val="26"/>
        </w:rPr>
      </w:pPr>
      <w:r>
        <w:rPr>
          <w:rFonts w:cs="Arial" w:ascii="Arial" w:hAnsi="Arial"/>
          <w:b/>
          <w:color w:val="000000"/>
          <w:sz w:val="22"/>
          <w:szCs w:val="26"/>
        </w:rPr>
      </w:r>
    </w:p>
    <w:p>
      <w:pPr>
        <w:pStyle w:val="Normal"/>
        <w:jc w:val="center"/>
        <w:rPr>
          <w:rFonts w:ascii="Arial" w:hAnsi="Arial" w:cs="Arial"/>
          <w:b/>
          <w:sz w:val="22"/>
        </w:rPr>
      </w:pPr>
      <w:r>
        <w:rPr>
          <w:rFonts w:cs="Arial" w:ascii="Arial" w:hAnsi="Arial"/>
          <w:color w:val="000000"/>
          <w:sz w:val="22"/>
          <w:szCs w:val="26"/>
        </w:rPr>
        <w:t>Docket No. EL02-7-000</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 xml:space="preserve">Motion to Intervene and Comments </w:t>
      </w:r>
    </w:p>
    <w:p>
      <w:pPr>
        <w:pStyle w:val="Normal"/>
        <w:jc w:val="center"/>
        <w:rPr>
          <w:rFonts w:ascii="Arial" w:hAnsi="Arial" w:cs="Arial"/>
          <w:b/>
          <w:sz w:val="22"/>
        </w:rPr>
      </w:pPr>
      <w:r>
        <w:rPr>
          <w:rFonts w:cs="Arial" w:ascii="Arial" w:hAnsi="Arial"/>
          <w:b/>
          <w:sz w:val="22"/>
        </w:rPr>
        <w:t>of the Western Power Trading Forum</w:t>
      </w:r>
    </w:p>
    <w:p>
      <w:pPr>
        <w:pStyle w:val="BodyTextIndent"/>
        <w:jc w:val="both"/>
        <w:rPr>
          <w:rFonts w:ascii="Arial" w:hAnsi="Arial" w:cs="Arial"/>
          <w:b/>
          <w:sz w:val="22"/>
        </w:rPr>
      </w:pPr>
      <w:r>
        <w:rPr>
          <w:rFonts w:cs="Arial" w:ascii="Arial" w:hAnsi="Arial"/>
          <w:b/>
          <w:sz w:val="22"/>
        </w:rPr>
      </w:r>
    </w:p>
    <w:p>
      <w:pPr>
        <w:pStyle w:val="BodyTextIndent"/>
        <w:jc w:val="both"/>
        <w:rPr/>
      </w:pPr>
      <w:r>
        <w:rPr>
          <w:rFonts w:cs="Arial" w:ascii="Arial" w:hAnsi="Arial"/>
          <w:sz w:val="22"/>
        </w:rPr>
        <w:t>Pursuant to Rule 214 of the Federal Energy Regulatory Commission’s (“FERC” or “Commission”) Rules of Practice and Procedure,</w:t>
      </w:r>
      <w:r>
        <w:rPr>
          <w:rStyle w:val="FootnoteCharacters"/>
          <w:rStyle w:val="FootnoteReference"/>
          <w:rFonts w:cs="Arial" w:ascii="Arial" w:hAnsi="Arial"/>
          <w:sz w:val="22"/>
        </w:rPr>
        <w:footnoteReference w:id="2"/>
      </w:r>
      <w:r>
        <w:rPr>
          <w:rFonts w:cs="Arial" w:ascii="Arial" w:hAnsi="Arial"/>
          <w:sz w:val="22"/>
        </w:rPr>
        <w:t xml:space="preserve"> the Western Power Trading Forum (“WPTF”) hereby moves to intervene and provides comments in the above captioned proceeding.  The Reliant and Mirant companies that are identified in the caption above (“Complainants”) filed a joint Section 206 complaint on October 18, 2001 (the “Complaint”).  The Complaint alleges that the California Independent System Operator (“CAISO”) has engaged in discriminatory and unduly preferential actions that violate the CAISO’s Tariff, the Federal Power Act (“FPA”), and the Commission’s own policies and orders.  The Complainants allege that such action by CAISO is the cause of injury both to Complainants and other market participants in California.  Furthermore, Complainants allege that CAISO’s actions are threatening the viability of the CAISO market.  Notice of the Complaint was provided by the Commission on October 19, 2001, calling for motions to intervene, protests and/or answers to be filed by October 29, 2001.  </w:t>
      </w:r>
    </w:p>
    <w:p>
      <w:pPr>
        <w:pStyle w:val="QA"/>
        <w:widowControl/>
        <w:spacing w:lineRule="auto" w:line="480"/>
        <w:ind w:firstLine="720" w:start="0" w:end="0"/>
        <w:jc w:val="both"/>
        <w:rPr/>
      </w:pPr>
      <w:r>
        <w:rPr>
          <w:rFonts w:cs="Arial" w:ascii="Arial" w:hAnsi="Arial"/>
          <w:b/>
          <w:bCs/>
          <w:sz w:val="22"/>
        </w:rPr>
        <w:t xml:space="preserve">A.  </w:t>
      </w:r>
      <w:r>
        <w:rPr>
          <w:rFonts w:cs="Arial" w:ascii="Arial" w:hAnsi="Arial"/>
          <w:b/>
          <w:bCs/>
          <w:sz w:val="22"/>
          <w:u w:val="single"/>
        </w:rPr>
        <w:t>The Identity of WPTF and Its Interest in This Proceeding.</w:t>
      </w:r>
    </w:p>
    <w:p>
      <w:pPr>
        <w:pStyle w:val="QA"/>
        <w:widowControl/>
        <w:spacing w:lineRule="auto" w:line="480"/>
        <w:ind w:firstLine="720" w:start="0" w:end="0"/>
        <w:jc w:val="both"/>
        <w:rPr>
          <w:rFonts w:ascii="Arial" w:hAnsi="Arial" w:cs="Arial"/>
          <w:sz w:val="22"/>
        </w:rPr>
      </w:pPr>
      <w:r>
        <w:rPr>
          <w:rFonts w:cs="Arial" w:ascii="Arial" w:hAnsi="Arial"/>
          <w:sz w:val="22"/>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The WPTF provides a voice through which members can influence the development of market structures throughout the region.  </w:t>
      </w:r>
    </w:p>
    <w:p>
      <w:pPr>
        <w:pStyle w:val="QA"/>
        <w:widowControl/>
        <w:spacing w:lineRule="auto" w:line="480"/>
        <w:ind w:firstLine="720" w:start="0" w:end="0"/>
        <w:jc w:val="both"/>
        <w:rPr>
          <w:rFonts w:ascii="Arial" w:hAnsi="Arial" w:cs="Arial"/>
          <w:sz w:val="22"/>
        </w:rPr>
      </w:pPr>
      <w:r>
        <w:rPr>
          <w:rFonts w:cs="Arial" w:ascii="Arial" w:hAnsi="Arial"/>
          <w:sz w:val="22"/>
        </w:rPr>
        <w:t>The membership of WPTF includes energy service providers, scheduling coordinators, generators (including affiliates of the Complainants) and a power exchange, all of which are active participants in the restructured California electricity market.  WPTF has a vital interest in the development of a competitive electric market and in the reduction of barriers that may exist in the very structure of new markets.  Therefore, WPTF has a material interest in ISO’s filing and its participation in this proceeding will be in the public interest.  No other party can adequately represent the interests of WPTF in this proceeding.</w:t>
      </w:r>
    </w:p>
    <w:p>
      <w:pPr>
        <w:pStyle w:val="QA"/>
        <w:widowControl/>
        <w:spacing w:lineRule="auto" w:line="480"/>
        <w:ind w:firstLine="720" w:start="0" w:end="0"/>
        <w:jc w:val="both"/>
        <w:rPr>
          <w:rFonts w:ascii="Arial" w:hAnsi="Arial" w:cs="Arial"/>
          <w:sz w:val="22"/>
        </w:rPr>
      </w:pPr>
      <w:r>
        <w:rPr>
          <w:rFonts w:cs="Arial" w:ascii="Arial" w:hAnsi="Arial"/>
          <w:sz w:val="22"/>
        </w:rPr>
        <w:t>For purposes of notices and communications, WPTF requests that the following name be placed on the service list for this proceeding:</w:t>
      </w:r>
    </w:p>
    <w:p>
      <w:pPr>
        <w:pStyle w:val="Normal"/>
        <w:ind w:firstLine="1440" w:end="0"/>
        <w:rPr>
          <w:rFonts w:ascii="Arial" w:hAnsi="Arial" w:cs="Arial"/>
          <w:sz w:val="22"/>
        </w:rPr>
      </w:pPr>
      <w:r>
        <w:rPr>
          <w:rFonts w:cs="Arial" w:ascii="Arial" w:hAnsi="Arial"/>
          <w:sz w:val="22"/>
        </w:rPr>
        <w:t>Daniel W. Douglass</w:t>
      </w:r>
    </w:p>
    <w:p>
      <w:pPr>
        <w:pStyle w:val="Normal"/>
        <w:ind w:firstLine="1440" w:end="0"/>
        <w:rPr>
          <w:rFonts w:ascii="Arial" w:hAnsi="Arial" w:cs="Arial"/>
          <w:sz w:val="22"/>
        </w:rPr>
      </w:pPr>
      <w:r>
        <w:rPr>
          <w:rFonts w:cs="Arial" w:ascii="Arial" w:hAnsi="Arial"/>
          <w:sz w:val="22"/>
        </w:rPr>
        <w:t>5959 Topanga Canyon Blvd.  Suite 244</w:t>
      </w:r>
    </w:p>
    <w:p>
      <w:pPr>
        <w:pStyle w:val="Normal"/>
        <w:ind w:firstLine="1440" w:end="0"/>
        <w:rPr>
          <w:rFonts w:ascii="Arial" w:hAnsi="Arial" w:cs="Arial"/>
          <w:sz w:val="22"/>
        </w:rPr>
      </w:pPr>
      <w:r>
        <w:rPr>
          <w:rFonts w:cs="Arial" w:ascii="Arial" w:hAnsi="Arial"/>
          <w:sz w:val="22"/>
        </w:rPr>
        <w:t>Woodland Hills, CA 91367</w:t>
      </w:r>
    </w:p>
    <w:p>
      <w:pPr>
        <w:pStyle w:val="Normal"/>
        <w:ind w:firstLine="1440" w:end="0"/>
        <w:rPr>
          <w:rFonts w:ascii="Arial" w:hAnsi="Arial" w:cs="Arial"/>
          <w:sz w:val="22"/>
        </w:rPr>
      </w:pPr>
      <w:r>
        <w:rPr>
          <w:rFonts w:cs="Arial" w:ascii="Arial" w:hAnsi="Arial"/>
          <w:sz w:val="22"/>
        </w:rPr>
        <w:t xml:space="preserve">Telephone: </w:t>
        <w:tab/>
        <w:t>(818) 596-2201</w:t>
      </w:r>
    </w:p>
    <w:p>
      <w:pPr>
        <w:pStyle w:val="Normal"/>
        <w:ind w:firstLine="1440" w:end="0"/>
        <w:rPr>
          <w:rFonts w:ascii="Arial" w:hAnsi="Arial" w:cs="Arial"/>
          <w:sz w:val="22"/>
        </w:rPr>
      </w:pPr>
      <w:r>
        <w:rPr>
          <w:rFonts w:cs="Arial" w:ascii="Arial" w:hAnsi="Arial"/>
          <w:sz w:val="22"/>
        </w:rPr>
        <w:t>Facsimile:</w:t>
        <w:tab/>
        <w:t>(818) 346-6502</w:t>
      </w:r>
    </w:p>
    <w:p>
      <w:pPr>
        <w:pStyle w:val="BodyTextIndent"/>
        <w:ind w:start="720" w:end="0"/>
        <w:rPr>
          <w:rFonts w:ascii="Arial" w:hAnsi="Arial" w:cs="Arial"/>
          <w:sz w:val="22"/>
        </w:rPr>
      </w:pPr>
      <w:r>
        <w:rPr>
          <w:rFonts w:cs="Arial" w:ascii="Arial" w:hAnsi="Arial"/>
          <w:sz w:val="22"/>
        </w:rPr>
        <w:t>Email:</w:t>
        <w:tab/>
        <w:t>douglass@energyattorney.com</w:t>
      </w:r>
    </w:p>
    <w:p>
      <w:pPr>
        <w:pStyle w:val="Normal"/>
        <w:autoSpaceDE w:val="false"/>
        <w:spacing w:lineRule="auto" w:line="480"/>
        <w:jc w:val="both"/>
        <w:rPr/>
      </w:pPr>
      <w:r>
        <w:rPr>
          <w:rFonts w:cs="Arial" w:ascii="Arial" w:hAnsi="Arial"/>
          <w:sz w:val="22"/>
        </w:rPr>
        <w:tab/>
      </w:r>
      <w:r>
        <w:rPr>
          <w:rFonts w:cs="Arial" w:ascii="Arial" w:hAnsi="Arial"/>
          <w:b/>
          <w:bCs/>
          <w:sz w:val="22"/>
        </w:rPr>
        <w:t xml:space="preserve">B.  </w:t>
      </w:r>
      <w:r>
        <w:rPr>
          <w:rFonts w:cs="Arial" w:ascii="Arial" w:hAnsi="Arial"/>
          <w:b/>
          <w:bCs/>
          <w:sz w:val="22"/>
          <w:u w:val="single"/>
        </w:rPr>
        <w:t>Summary of Comments</w:t>
      </w:r>
      <w:r>
        <w:rPr>
          <w:rFonts w:cs="Arial" w:ascii="Arial" w:hAnsi="Arial"/>
          <w:sz w:val="22"/>
        </w:rPr>
        <w:tab/>
      </w:r>
    </w:p>
    <w:p>
      <w:pPr>
        <w:pStyle w:val="Normal"/>
        <w:autoSpaceDE w:val="false"/>
        <w:spacing w:lineRule="auto" w:line="480"/>
        <w:ind w:firstLine="710" w:end="0"/>
        <w:jc w:val="both"/>
        <w:rPr/>
      </w:pPr>
      <w:r>
        <w:rPr>
          <w:rFonts w:cs="Arial" w:ascii="Arial" w:hAnsi="Arial"/>
          <w:sz w:val="22"/>
        </w:rPr>
        <w:t xml:space="preserve">In comments filed today in Docket No. ER01-889-000, WPTF has emphasized to the Commission that CAISO is feigning compliance with its tariff and that the Commission must demand of CAISO that it enforce its tariffs equally and non-discriminatorily with </w:t>
      </w:r>
      <w:r>
        <w:rPr>
          <w:rFonts w:cs="Arial" w:ascii="Arial" w:hAnsi="Arial"/>
          <w:sz w:val="22"/>
          <w:u w:val="single"/>
        </w:rPr>
        <w:t>all</w:t>
      </w:r>
      <w:r>
        <w:rPr>
          <w:rFonts w:cs="Arial" w:ascii="Arial" w:hAnsi="Arial"/>
          <w:sz w:val="22"/>
        </w:rPr>
        <w:t xml:space="preserve"> market participants, including the California Department of Water Resources’ California Energy Resources Scheduler (“CDWR/CERS”).  Although those comments focused primarily on CAISO’s non-compliance with the creditworthiness standards of the Commission, the Complaint highlights a number of other critical areas where CAISO is affording preferential treatment to CDWR/CERS.   WPTF concurs with the Complainants’ allegation that CAISO is operating inconsistently with its Commission-approved tariff and that the agency is now effectively controlled by CDWR/CERS.  As a result, WPTF joins with the Complainants’ request that the Commission should:</w:t>
      </w:r>
    </w:p>
    <w:p>
      <w:pPr>
        <w:pStyle w:val="Normal"/>
        <w:numPr>
          <w:ilvl w:val="0"/>
          <w:numId w:val="2"/>
        </w:numPr>
        <w:autoSpaceDE w:val="false"/>
        <w:spacing w:lineRule="auto" w:line="480"/>
        <w:jc w:val="both"/>
        <w:rPr>
          <w:rFonts w:ascii="Arial" w:hAnsi="Arial" w:cs="Arial"/>
          <w:sz w:val="22"/>
        </w:rPr>
      </w:pPr>
      <w:r>
        <w:rPr>
          <w:rFonts w:cs="Arial" w:ascii="Arial" w:hAnsi="Arial"/>
          <w:sz w:val="22"/>
        </w:rPr>
        <w:t>Direct that CAISO cease and desist from:</w:t>
      </w:r>
    </w:p>
    <w:p>
      <w:pPr>
        <w:pStyle w:val="Normal"/>
        <w:numPr>
          <w:ilvl w:val="1"/>
          <w:numId w:val="2"/>
        </w:numPr>
        <w:autoSpaceDE w:val="false"/>
        <w:spacing w:lineRule="auto" w:line="480"/>
        <w:jc w:val="both"/>
        <w:rPr>
          <w:rFonts w:ascii="Arial" w:hAnsi="Arial" w:cs="Arial"/>
          <w:sz w:val="22"/>
        </w:rPr>
      </w:pPr>
      <w:r>
        <w:rPr>
          <w:rFonts w:cs="Arial" w:ascii="Arial" w:hAnsi="Arial"/>
          <w:sz w:val="22"/>
        </w:rPr>
        <w:t>any and all deviations from its Commission approved tariff; and</w:t>
      </w:r>
    </w:p>
    <w:p>
      <w:pPr>
        <w:pStyle w:val="Normal"/>
        <w:numPr>
          <w:ilvl w:val="1"/>
          <w:numId w:val="2"/>
        </w:numPr>
        <w:autoSpaceDE w:val="false"/>
        <w:spacing w:lineRule="auto" w:line="480"/>
        <w:jc w:val="both"/>
        <w:rPr>
          <w:rFonts w:ascii="Arial" w:hAnsi="Arial" w:cs="Arial"/>
          <w:sz w:val="22"/>
        </w:rPr>
      </w:pPr>
      <w:r>
        <w:rPr>
          <w:rFonts w:cs="Arial" w:ascii="Arial" w:hAnsi="Arial"/>
          <w:sz w:val="22"/>
        </w:rPr>
        <w:t xml:space="preserve">implementation of any market structure or settlement processes changes that are not approved by the Commission in advance; and </w:t>
      </w:r>
    </w:p>
    <w:p>
      <w:pPr>
        <w:pStyle w:val="Normal"/>
        <w:numPr>
          <w:ilvl w:val="1"/>
          <w:numId w:val="2"/>
        </w:numPr>
        <w:autoSpaceDE w:val="false"/>
        <w:spacing w:lineRule="auto" w:line="480"/>
        <w:jc w:val="both"/>
        <w:rPr>
          <w:rFonts w:ascii="Arial" w:hAnsi="Arial" w:cs="Arial"/>
          <w:sz w:val="22"/>
        </w:rPr>
      </w:pPr>
      <w:r>
        <w:rPr>
          <w:rFonts w:cs="Arial" w:ascii="Arial" w:hAnsi="Arial"/>
          <w:sz w:val="22"/>
        </w:rPr>
        <w:t>the misuse of CAISO’s “out-of-market” (“OOM”) tariff provisions for the scheduling of the vast majority of energy bilaterally contracted by CDWR/CERS with third parties and then resold to CAISO</w:t>
      </w:r>
    </w:p>
    <w:p>
      <w:pPr>
        <w:pStyle w:val="Normal"/>
        <w:numPr>
          <w:ilvl w:val="0"/>
          <w:numId w:val="2"/>
        </w:numPr>
        <w:autoSpaceDE w:val="false"/>
        <w:spacing w:lineRule="auto" w:line="480"/>
        <w:jc w:val="both"/>
        <w:rPr>
          <w:rFonts w:ascii="Arial" w:hAnsi="Arial" w:cs="Arial"/>
          <w:sz w:val="22"/>
        </w:rPr>
      </w:pPr>
      <w:r>
        <w:rPr>
          <w:rFonts w:cs="Arial" w:ascii="Arial" w:hAnsi="Arial"/>
          <w:sz w:val="22"/>
        </w:rPr>
        <w:t>Institute an investigation into the consequences of CAISO’s provision of preferential treatment for CDWR/CERS through the:</w:t>
      </w:r>
    </w:p>
    <w:p>
      <w:pPr>
        <w:pStyle w:val="Normal"/>
        <w:numPr>
          <w:ilvl w:val="1"/>
          <w:numId w:val="2"/>
        </w:numPr>
        <w:autoSpaceDE w:val="false"/>
        <w:spacing w:lineRule="auto" w:line="480"/>
        <w:jc w:val="both"/>
        <w:rPr>
          <w:rFonts w:ascii="Arial" w:hAnsi="Arial" w:cs="Arial"/>
          <w:sz w:val="22"/>
        </w:rPr>
      </w:pPr>
      <w:r>
        <w:rPr>
          <w:rFonts w:cs="Arial" w:ascii="Arial" w:hAnsi="Arial"/>
          <w:sz w:val="22"/>
        </w:rPr>
        <w:t>provision of access to CDWR/CERS of confidential market data; and</w:t>
      </w:r>
    </w:p>
    <w:p>
      <w:pPr>
        <w:pStyle w:val="Normal"/>
        <w:numPr>
          <w:ilvl w:val="1"/>
          <w:numId w:val="2"/>
        </w:numPr>
        <w:autoSpaceDE w:val="false"/>
        <w:spacing w:lineRule="auto" w:line="480"/>
        <w:jc w:val="both"/>
        <w:rPr>
          <w:rFonts w:ascii="Arial" w:hAnsi="Arial" w:cs="Arial"/>
          <w:sz w:val="22"/>
        </w:rPr>
      </w:pPr>
      <w:r>
        <w:rPr>
          <w:rFonts w:cs="Arial" w:ascii="Arial" w:hAnsi="Arial"/>
          <w:sz w:val="22"/>
        </w:rPr>
        <w:t>provision of resource scheduling capabilities for CDWR/CERS to which other market participants do not have access.</w:t>
      </w:r>
    </w:p>
    <w:p>
      <w:pPr>
        <w:pStyle w:val="Normal"/>
        <w:numPr>
          <w:ilvl w:val="0"/>
          <w:numId w:val="2"/>
        </w:numPr>
        <w:autoSpaceDE w:val="false"/>
        <w:spacing w:lineRule="auto" w:line="480"/>
        <w:jc w:val="both"/>
        <w:rPr>
          <w:rFonts w:ascii="Arial" w:hAnsi="Arial" w:cs="Arial"/>
          <w:sz w:val="22"/>
        </w:rPr>
      </w:pPr>
      <w:r>
        <w:rPr>
          <w:rFonts w:cs="Arial" w:ascii="Arial" w:hAnsi="Arial"/>
          <w:sz w:val="22"/>
        </w:rPr>
        <w:t>Direct that the provision of incremental and decremental imbalance energy be provided at prices determined through operation of the CAISO realtime imbalance energy market.</w:t>
      </w:r>
    </w:p>
    <w:p>
      <w:pPr>
        <w:pStyle w:val="Normal"/>
        <w:autoSpaceDE w:val="false"/>
        <w:rPr>
          <w:rFonts w:ascii="Arial" w:hAnsi="Arial" w:cs="Arial"/>
          <w:sz w:val="22"/>
        </w:rPr>
      </w:pPr>
      <w:r>
        <w:rPr>
          <w:rFonts w:cs="Arial" w:ascii="Arial" w:hAnsi="Arial"/>
          <w:sz w:val="22"/>
        </w:rPr>
      </w:r>
    </w:p>
    <w:p>
      <w:pPr>
        <w:pStyle w:val="BodyTextIndent3"/>
        <w:ind w:firstLine="710" w:start="0" w:end="0"/>
        <w:jc w:val="both"/>
        <w:rPr>
          <w:rFonts w:ascii="Arial" w:hAnsi="Arial" w:cs="Arial"/>
          <w:b/>
          <w:bCs/>
          <w:sz w:val="22"/>
          <w:u w:val="single"/>
        </w:rPr>
      </w:pPr>
      <w:r>
        <w:rPr>
          <w:rFonts w:cs="Arial" w:ascii="Arial" w:hAnsi="Arial"/>
          <w:b/>
          <w:bCs/>
          <w:sz w:val="22"/>
        </w:rPr>
        <w:t xml:space="preserve">C.  </w:t>
      </w:r>
      <w:r>
        <w:rPr>
          <w:rFonts w:cs="Arial" w:ascii="Arial" w:hAnsi="Arial"/>
          <w:b/>
          <w:bCs/>
          <w:sz w:val="22"/>
          <w:u w:val="single"/>
        </w:rPr>
        <w:t>Why Is Commission Action Needed Now?</w:t>
      </w:r>
      <w:r>
        <w:rPr>
          <w:rFonts w:cs="Arial" w:ascii="Arial" w:hAnsi="Arial"/>
          <w:b/>
          <w:bCs/>
          <w:sz w:val="22"/>
        </w:rPr>
        <w:t xml:space="preserve">  </w:t>
      </w:r>
    </w:p>
    <w:p>
      <w:pPr>
        <w:pStyle w:val="BodyTextIndent3"/>
        <w:ind w:firstLine="710" w:start="0" w:end="0"/>
        <w:jc w:val="both"/>
        <w:rPr/>
      </w:pPr>
      <w:r>
        <w:rPr>
          <w:rFonts w:cs="Arial" w:ascii="Arial" w:hAnsi="Arial"/>
          <w:sz w:val="22"/>
        </w:rPr>
        <w:t xml:space="preserve">Restructuring in the California energy market has reached a critical turning point.  It has been over three and a half years since CAISO and the now-defunct California Power Exchange commenced operations.  However, in that entire time, there has never been such a serious threat to the independence and to the efficient functioning of the CAISO markets as exists today.  The reason for this threat is readily apparent.  The State of California, acting through CDWR/CERS, has infringed to an extraordinary degree on the operations, the management and the fundamental independence of CAISO.  This Commission is therefore faced with a difficult choice.  It can defer to CAISO management and conduct an essentially </w:t>
      </w:r>
      <w:r>
        <w:rPr>
          <w:rFonts w:cs="Arial" w:ascii="Arial" w:hAnsi="Arial"/>
          <w:i/>
          <w:iCs/>
          <w:sz w:val="22"/>
        </w:rPr>
        <w:t>laissez-faire</w:t>
      </w:r>
      <w:r>
        <w:rPr>
          <w:rFonts w:cs="Arial" w:ascii="Arial" w:hAnsi="Arial"/>
          <w:sz w:val="22"/>
        </w:rPr>
        <w:t xml:space="preserve"> approach to the state’s energy market.  Or, it can take a more activist role and insist that the State cease its unwarranted intrusion into the operations of CAISO and that CAISO enforce its tariff provisions without the continually providing preferential treatment to CDWR/CERS.  WPTF hopes and recommends that the Commission opt for the latter course.</w:t>
      </w:r>
    </w:p>
    <w:p>
      <w:pPr>
        <w:pStyle w:val="BodyTextIndent3"/>
        <w:ind w:firstLine="710" w:start="0" w:end="0"/>
        <w:jc w:val="both"/>
        <w:rPr>
          <w:rFonts w:ascii="Arial" w:hAnsi="Arial" w:cs="Arial"/>
          <w:sz w:val="22"/>
        </w:rPr>
      </w:pPr>
      <w:r>
        <w:rPr>
          <w:rFonts w:cs="Arial" w:ascii="Arial" w:hAnsi="Arial"/>
          <w:sz w:val="22"/>
        </w:rPr>
        <w:t>WPTF will not reiterate here all of the many salient points made by Complainants in their October 18 filing.  Suffice it to say that WPTF believes that Complainant’s concerns are legitimate, the problems of which they complain are very real and very serious and that firm Commission action is required to remedy the abuses which exist in the CAISO markets.  WPTF highlights below the abuses which are most readily apparent and which the Commission must address as soon as possible:</w:t>
      </w:r>
    </w:p>
    <w:p>
      <w:pPr>
        <w:pStyle w:val="BodyTextIndent"/>
        <w:numPr>
          <w:ilvl w:val="0"/>
          <w:numId w:val="4"/>
        </w:numPr>
        <w:jc w:val="both"/>
        <w:rPr>
          <w:rFonts w:ascii="Arial" w:hAnsi="Arial" w:cs="Arial"/>
          <w:sz w:val="22"/>
        </w:rPr>
      </w:pPr>
      <w:r>
        <w:rPr>
          <w:rFonts w:cs="Arial" w:ascii="Arial" w:hAnsi="Arial"/>
          <w:sz w:val="22"/>
        </w:rPr>
        <w:t>The OOM processes has been corrupted from being a mechanism that was to be used only in instances of resource scarcity and insufficiency in imbalance energy bids to a resource scheduling process that solely benefits CDWR/CERS.</w:t>
      </w:r>
    </w:p>
    <w:p>
      <w:pPr>
        <w:pStyle w:val="BodyTextIndent"/>
        <w:numPr>
          <w:ilvl w:val="0"/>
          <w:numId w:val="4"/>
        </w:numPr>
        <w:jc w:val="both"/>
        <w:rPr>
          <w:rFonts w:ascii="Arial" w:hAnsi="Arial" w:cs="Arial"/>
          <w:sz w:val="22"/>
        </w:rPr>
      </w:pPr>
      <w:r>
        <w:rPr>
          <w:rFonts w:cs="Arial" w:ascii="Arial" w:hAnsi="Arial"/>
          <w:sz w:val="22"/>
        </w:rPr>
        <w:t>As a result, the imbalance energy market has become fundamentally flawed, causing distortions in market prices and resulting cost allocations to other market participants which are unfair and inequitable.</w:t>
      </w:r>
    </w:p>
    <w:p>
      <w:pPr>
        <w:pStyle w:val="BodyTextIndent"/>
        <w:numPr>
          <w:ilvl w:val="0"/>
          <w:numId w:val="4"/>
        </w:numPr>
        <w:jc w:val="both"/>
        <w:rPr>
          <w:rFonts w:ascii="Arial" w:hAnsi="Arial" w:cs="Arial"/>
          <w:sz w:val="22"/>
        </w:rPr>
      </w:pPr>
      <w:r>
        <w:rPr>
          <w:rFonts w:cs="Arial" w:ascii="Arial" w:hAnsi="Arial"/>
          <w:sz w:val="22"/>
        </w:rPr>
        <w:t>CDWR/CERS is not required to schedule resources in accordance with the procedures required of all other market participants.</w:t>
      </w:r>
    </w:p>
    <w:p>
      <w:pPr>
        <w:pStyle w:val="BodyTextIndent"/>
        <w:numPr>
          <w:ilvl w:val="0"/>
          <w:numId w:val="4"/>
        </w:numPr>
        <w:jc w:val="both"/>
        <w:rPr>
          <w:rFonts w:ascii="Arial" w:hAnsi="Arial" w:cs="Arial"/>
          <w:sz w:val="22"/>
        </w:rPr>
      </w:pPr>
      <w:r>
        <w:rPr>
          <w:rFonts w:cs="Arial" w:ascii="Arial" w:hAnsi="Arial"/>
          <w:sz w:val="22"/>
        </w:rPr>
        <w:t>CAISO admittedly provides CDWR/CERS with preferential access to confidential market data that is unavailable to other market participants.</w:t>
      </w:r>
    </w:p>
    <w:p>
      <w:pPr>
        <w:pStyle w:val="BodyTextIndent"/>
        <w:numPr>
          <w:ilvl w:val="0"/>
          <w:numId w:val="4"/>
        </w:numPr>
        <w:jc w:val="both"/>
        <w:rPr/>
      </w:pPr>
      <w:r>
        <w:rPr>
          <w:rFonts w:cs="Arial" w:ascii="Arial" w:hAnsi="Arial"/>
          <w:sz w:val="22"/>
        </w:rPr>
        <w:t xml:space="preserve">CAISO seeks to institutionalize the preferential treatment it has it has accorded CDWR/CERS on a permanent basis, without any Commission review or approval.  </w:t>
      </w:r>
    </w:p>
    <w:p>
      <w:pPr>
        <w:pStyle w:val="BodyTextIndent"/>
        <w:numPr>
          <w:ilvl w:val="0"/>
          <w:numId w:val="4"/>
        </w:numPr>
        <w:rPr>
          <w:rFonts w:ascii="Arial" w:hAnsi="Arial" w:cs="Arial"/>
          <w:sz w:val="22"/>
        </w:rPr>
      </w:pPr>
      <w:r>
        <w:rPr>
          <w:rFonts w:cs="Arial" w:ascii="Arial" w:hAnsi="Arial"/>
          <w:sz w:val="22"/>
        </w:rPr>
        <w:t>Realtime market prices are being manipulated by CAISO and CDWR/CERS by means of their coordinated OOM purchasing decisions.</w:t>
      </w:r>
    </w:p>
    <w:p>
      <w:pPr>
        <w:pStyle w:val="BodyTextIndent"/>
        <w:numPr>
          <w:ilvl w:val="0"/>
          <w:numId w:val="4"/>
        </w:numPr>
        <w:jc w:val="both"/>
        <w:rPr>
          <w:rFonts w:ascii="Arial" w:hAnsi="Arial" w:cs="Arial"/>
          <w:sz w:val="22"/>
        </w:rPr>
      </w:pPr>
      <w:r>
        <w:rPr>
          <w:rFonts w:cs="Arial" w:ascii="Arial" w:hAnsi="Arial"/>
          <w:sz w:val="22"/>
        </w:rPr>
        <w:t>The least-cost dispatch mechanism utilized by the CAISO BEEP stack is being distorted in a manner that is likely to increase costs for consumers.</w:t>
      </w:r>
    </w:p>
    <w:p>
      <w:pPr>
        <w:pStyle w:val="BodyTextIndent"/>
        <w:ind w:hanging="0" w:start="360" w:end="0"/>
        <w:jc w:val="both"/>
        <w:rPr>
          <w:rFonts w:ascii="Arial" w:hAnsi="Arial" w:cs="Arial"/>
          <w:sz w:val="22"/>
        </w:rPr>
      </w:pPr>
      <w:r>
        <w:rPr>
          <w:rFonts w:cs="Arial" w:ascii="Arial" w:hAnsi="Arial"/>
          <w:sz w:val="22"/>
        </w:rPr>
      </w:r>
    </w:p>
    <w:p>
      <w:pPr>
        <w:pStyle w:val="Heading1"/>
        <w:numPr>
          <w:ilvl w:val="0"/>
          <w:numId w:val="3"/>
        </w:numPr>
        <w:rPr>
          <w:rFonts w:ascii="Arial" w:hAnsi="Arial" w:cs="Arial"/>
          <w:sz w:val="22"/>
        </w:rPr>
      </w:pPr>
      <w:r>
        <w:rPr>
          <w:rFonts w:eastAsia="Arial" w:cs="Arial" w:ascii="Arial" w:hAnsi="Arial"/>
          <w:sz w:val="22"/>
          <w:u w:val="none"/>
        </w:rPr>
        <w:t xml:space="preserve"> </w:t>
      </w:r>
      <w:r>
        <w:rPr>
          <w:rFonts w:cs="Arial" w:ascii="Arial" w:hAnsi="Arial"/>
          <w:sz w:val="22"/>
        </w:rPr>
        <w:t>Conclusion</w:t>
      </w:r>
    </w:p>
    <w:p>
      <w:pPr>
        <w:pStyle w:val="BodyTextIndent3"/>
        <w:ind w:firstLine="720" w:start="0" w:end="0"/>
        <w:jc w:val="both"/>
        <w:rPr/>
      </w:pPr>
      <w:r>
        <w:rPr>
          <w:rFonts w:cs="Arial" w:ascii="Arial" w:hAnsi="Arial"/>
          <w:sz w:val="22"/>
        </w:rPr>
        <w:t xml:space="preserve">WPTF respectfully requests that the Commission act expeditiously to end the discriminatory and preferential treatment that is being afforded to CDWR/CERS by CAISO.  The market is being distorted, fundamental notions of fairness and non-discriminatory treatment have been abandoned and we have witnessed a political </w:t>
      </w:r>
      <w:r>
        <w:rPr>
          <w:rFonts w:cs="Arial" w:ascii="Arial" w:hAnsi="Arial"/>
          <w:i/>
          <w:iCs/>
          <w:sz w:val="22"/>
        </w:rPr>
        <w:t>coup d’etat</w:t>
      </w:r>
      <w:r>
        <w:rPr>
          <w:rFonts w:cs="Arial" w:ascii="Arial" w:hAnsi="Arial"/>
          <w:sz w:val="22"/>
        </w:rPr>
        <w:t xml:space="preserve"> by the State of California. All market participants must be subject to the same market rules and identical market forces.  To the extent that this fundamental unfairness is allowed to persist, confidence in the equity of the marketplace is undermined and parties are discouraged from continued participation in the market.  Left unchecked, this will result in harm to the electricity consumers in California who will be forced to rely more and more on the procurement efforts of CDWR-CERS and not on the ingenuity and creativity of the competitive marketplace.  </w:t>
      </w:r>
    </w:p>
    <w:p>
      <w:pPr>
        <w:pStyle w:val="BodyTextIndent3"/>
        <w:ind w:firstLine="720" w:start="0" w:end="0"/>
        <w:jc w:val="both"/>
        <w:rPr>
          <w:rFonts w:ascii="Arial" w:hAnsi="Arial" w:cs="Arial"/>
          <w:sz w:val="22"/>
        </w:rPr>
      </w:pPr>
      <w:r>
        <w:rPr>
          <w:rFonts w:cs="Arial" w:ascii="Arial" w:hAnsi="Arial"/>
          <w:sz w:val="22"/>
        </w:rPr>
        <w:t xml:space="preserve">WPTF supports the Complainants, endorses the arguments they have put forward and respectfully requests that the Commission grant the relief requested in the Complaint.  Specifically, WPTF urges the Commission to take the following steps: </w:t>
      </w:r>
    </w:p>
    <w:p>
      <w:pPr>
        <w:pStyle w:val="Normal"/>
        <w:numPr>
          <w:ilvl w:val="0"/>
          <w:numId w:val="2"/>
        </w:numPr>
        <w:autoSpaceDE w:val="false"/>
        <w:spacing w:lineRule="auto" w:line="480"/>
        <w:jc w:val="both"/>
        <w:rPr>
          <w:rFonts w:ascii="Arial" w:hAnsi="Arial" w:cs="Arial"/>
          <w:sz w:val="22"/>
        </w:rPr>
      </w:pPr>
      <w:r>
        <w:rPr>
          <w:rFonts w:cs="Arial" w:ascii="Arial" w:hAnsi="Arial"/>
          <w:sz w:val="22"/>
        </w:rPr>
        <w:t>Direct that CAISO cease and desist from:</w:t>
      </w:r>
    </w:p>
    <w:p>
      <w:pPr>
        <w:pStyle w:val="Normal"/>
        <w:numPr>
          <w:ilvl w:val="1"/>
          <w:numId w:val="2"/>
        </w:numPr>
        <w:autoSpaceDE w:val="false"/>
        <w:spacing w:lineRule="auto" w:line="480"/>
        <w:jc w:val="both"/>
        <w:rPr>
          <w:rFonts w:ascii="Arial" w:hAnsi="Arial" w:cs="Arial"/>
          <w:sz w:val="22"/>
        </w:rPr>
      </w:pPr>
      <w:r>
        <w:rPr>
          <w:rFonts w:cs="Arial" w:ascii="Arial" w:hAnsi="Arial"/>
          <w:sz w:val="22"/>
        </w:rPr>
        <w:t>any and all deviations from its Commission approved tariff; and</w:t>
      </w:r>
    </w:p>
    <w:p>
      <w:pPr>
        <w:pStyle w:val="Normal"/>
        <w:numPr>
          <w:ilvl w:val="1"/>
          <w:numId w:val="2"/>
        </w:numPr>
        <w:autoSpaceDE w:val="false"/>
        <w:spacing w:lineRule="auto" w:line="480"/>
        <w:jc w:val="both"/>
        <w:rPr>
          <w:rFonts w:ascii="Arial" w:hAnsi="Arial" w:cs="Arial"/>
          <w:sz w:val="22"/>
        </w:rPr>
      </w:pPr>
      <w:r>
        <w:rPr>
          <w:rFonts w:cs="Arial" w:ascii="Arial" w:hAnsi="Arial"/>
          <w:sz w:val="22"/>
        </w:rPr>
        <w:t xml:space="preserve">implementation of any market structure or settlement processes changes that are not approved by the Commission in advance; and </w:t>
      </w:r>
    </w:p>
    <w:p>
      <w:pPr>
        <w:pStyle w:val="Normal"/>
        <w:numPr>
          <w:ilvl w:val="1"/>
          <w:numId w:val="2"/>
        </w:numPr>
        <w:autoSpaceDE w:val="false"/>
        <w:spacing w:lineRule="auto" w:line="480"/>
        <w:jc w:val="both"/>
        <w:rPr>
          <w:rFonts w:ascii="Arial" w:hAnsi="Arial" w:cs="Arial"/>
          <w:sz w:val="22"/>
        </w:rPr>
      </w:pPr>
      <w:r>
        <w:rPr>
          <w:rFonts w:cs="Arial" w:ascii="Arial" w:hAnsi="Arial"/>
          <w:sz w:val="22"/>
        </w:rPr>
        <w:t>the misuse of CAISO’s “out-of-market” (“OOM”) tariff provisions for the scheduling of the vast majority of energy bilaterally contracted by CDWR/CERS with third parties and then resold to CAISO</w:t>
      </w:r>
    </w:p>
    <w:p>
      <w:pPr>
        <w:pStyle w:val="Normal"/>
        <w:numPr>
          <w:ilvl w:val="0"/>
          <w:numId w:val="2"/>
        </w:numPr>
        <w:autoSpaceDE w:val="false"/>
        <w:spacing w:lineRule="auto" w:line="480"/>
        <w:jc w:val="both"/>
        <w:rPr>
          <w:rFonts w:ascii="Arial" w:hAnsi="Arial" w:cs="Arial"/>
          <w:sz w:val="22"/>
        </w:rPr>
      </w:pPr>
      <w:r>
        <w:rPr>
          <w:rFonts w:cs="Arial" w:ascii="Arial" w:hAnsi="Arial"/>
          <w:sz w:val="22"/>
        </w:rPr>
        <w:t>Institute an investigation into the consequences of CAISO’s provision of preferential treatment for CDWR/CERS through the:</w:t>
      </w:r>
    </w:p>
    <w:p>
      <w:pPr>
        <w:pStyle w:val="Normal"/>
        <w:numPr>
          <w:ilvl w:val="1"/>
          <w:numId w:val="2"/>
        </w:numPr>
        <w:autoSpaceDE w:val="false"/>
        <w:spacing w:lineRule="auto" w:line="480"/>
        <w:jc w:val="both"/>
        <w:rPr>
          <w:rFonts w:ascii="Arial" w:hAnsi="Arial" w:cs="Arial"/>
          <w:sz w:val="22"/>
        </w:rPr>
      </w:pPr>
      <w:r>
        <w:rPr>
          <w:rFonts w:cs="Arial" w:ascii="Arial" w:hAnsi="Arial"/>
          <w:sz w:val="22"/>
        </w:rPr>
        <w:t>provision of access to CDWR/CERS of confidential market data; and</w:t>
      </w:r>
    </w:p>
    <w:p>
      <w:pPr>
        <w:pStyle w:val="Normal"/>
        <w:numPr>
          <w:ilvl w:val="1"/>
          <w:numId w:val="2"/>
        </w:numPr>
        <w:autoSpaceDE w:val="false"/>
        <w:spacing w:lineRule="auto" w:line="480"/>
        <w:jc w:val="both"/>
        <w:rPr>
          <w:rFonts w:ascii="Arial" w:hAnsi="Arial" w:cs="Arial"/>
          <w:sz w:val="22"/>
        </w:rPr>
      </w:pPr>
      <w:r>
        <w:rPr>
          <w:rFonts w:cs="Arial" w:ascii="Arial" w:hAnsi="Arial"/>
          <w:sz w:val="22"/>
        </w:rPr>
        <w:t>provision of resource scheduling capabilities for CDWR/CERS to which other market participants do not have access; and</w:t>
      </w:r>
    </w:p>
    <w:p>
      <w:pPr>
        <w:pStyle w:val="Normal"/>
        <w:numPr>
          <w:ilvl w:val="0"/>
          <w:numId w:val="2"/>
        </w:numPr>
        <w:autoSpaceDE w:val="false"/>
        <w:spacing w:lineRule="auto" w:line="480"/>
        <w:rPr>
          <w:rFonts w:ascii="Arial" w:hAnsi="Arial" w:cs="Arial"/>
          <w:sz w:val="22"/>
        </w:rPr>
      </w:pPr>
      <w:r>
        <w:rPr>
          <w:rFonts w:cs="Arial" w:ascii="Arial" w:hAnsi="Arial"/>
          <w:sz w:val="22"/>
        </w:rPr>
        <w:t xml:space="preserve">Direct that the provision of incremental and decremental imbalance energy be provided at prices determined through operation of the CAISO realtime imbalance energy market. </w:t>
      </w:r>
    </w:p>
    <w:p>
      <w:pPr>
        <w:pStyle w:val="BodyText3"/>
        <w:rPr/>
      </w:pPr>
      <w:r>
        <w:rPr/>
        <w:t>WPTF thanks the Commission for its attention to our comments and asks that it grant this petition to intervene</w:t>
      </w:r>
    </w:p>
    <w:p>
      <w:pPr>
        <w:pStyle w:val="Normal"/>
        <w:ind w:firstLine="5040" w:end="0"/>
        <w:rPr>
          <w:rFonts w:ascii="Arial" w:hAnsi="Arial" w:cs="Arial"/>
          <w:sz w:val="22"/>
        </w:rPr>
      </w:pPr>
      <w:r>
        <w:rPr>
          <w:rFonts w:cs="Arial" w:ascii="Arial" w:hAnsi="Arial"/>
          <w:sz w:val="22"/>
        </w:rPr>
        <w:t>Respectfully submitted,</w:t>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t>_______________________________</w:t>
      </w:r>
    </w:p>
    <w:p>
      <w:pPr>
        <w:pStyle w:val="Normal"/>
        <w:ind w:firstLine="1440" w:start="3600" w:end="0"/>
        <w:rPr>
          <w:rFonts w:ascii="Arial" w:hAnsi="Arial" w:cs="Arial"/>
          <w:sz w:val="22"/>
        </w:rPr>
      </w:pPr>
      <w:r>
        <w:rPr>
          <w:rFonts w:cs="Arial" w:ascii="Arial" w:hAnsi="Arial"/>
          <w:sz w:val="22"/>
        </w:rPr>
        <w:t>Daniel W. Douglass</w:t>
      </w:r>
    </w:p>
    <w:p>
      <w:pPr>
        <w:pStyle w:val="Normal"/>
        <w:ind w:firstLine="1440" w:start="3600" w:end="0"/>
        <w:rPr>
          <w:rFonts w:ascii="Arial" w:hAnsi="Arial" w:cs="Arial"/>
          <w:sz w:val="22"/>
        </w:rPr>
      </w:pPr>
      <w:r>
        <w:rPr>
          <w:rFonts w:cs="Arial" w:ascii="Arial" w:hAnsi="Arial"/>
          <w:sz w:val="22"/>
        </w:rPr>
        <w:t>5959 Topanga Canyon Blvd.  Suite 244</w:t>
      </w:r>
    </w:p>
    <w:p>
      <w:pPr>
        <w:pStyle w:val="Normal"/>
        <w:ind w:firstLine="1440" w:start="3600" w:end="0"/>
        <w:rPr>
          <w:rFonts w:ascii="Arial" w:hAnsi="Arial" w:cs="Arial"/>
          <w:sz w:val="22"/>
        </w:rPr>
      </w:pPr>
      <w:r>
        <w:rPr>
          <w:rFonts w:cs="Arial" w:ascii="Arial" w:hAnsi="Arial"/>
          <w:sz w:val="22"/>
        </w:rPr>
        <w:t>Woodland Hills, CA 91367</w:t>
      </w:r>
    </w:p>
    <w:p>
      <w:pPr>
        <w:pStyle w:val="Normal"/>
        <w:ind w:firstLine="1440" w:start="3600" w:end="0"/>
        <w:rPr>
          <w:rFonts w:ascii="Arial" w:hAnsi="Arial" w:cs="Arial"/>
          <w:sz w:val="22"/>
        </w:rPr>
      </w:pPr>
      <w:r>
        <w:rPr>
          <w:rFonts w:cs="Arial" w:ascii="Arial" w:hAnsi="Arial"/>
          <w:sz w:val="22"/>
        </w:rPr>
        <w:t xml:space="preserve">Telephone </w:t>
        <w:tab/>
        <w:t>(818) 596-2201</w:t>
      </w:r>
    </w:p>
    <w:p>
      <w:pPr>
        <w:pStyle w:val="Normal"/>
        <w:ind w:firstLine="5040" w:end="0"/>
        <w:rPr>
          <w:rFonts w:ascii="Arial" w:hAnsi="Arial" w:cs="Arial"/>
          <w:sz w:val="22"/>
        </w:rPr>
      </w:pPr>
      <w:r>
        <w:rPr>
          <w:rFonts w:cs="Arial" w:ascii="Arial" w:hAnsi="Arial"/>
          <w:sz w:val="22"/>
        </w:rPr>
        <w:t xml:space="preserve">Facsimile </w:t>
        <w:tab/>
        <w:t>(818) 346-6502</w:t>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t>Attorney for the</w:t>
      </w:r>
    </w:p>
    <w:p>
      <w:pPr>
        <w:pStyle w:val="Normal"/>
        <w:ind w:firstLine="5040" w:end="0"/>
        <w:rPr>
          <w:rFonts w:ascii="Arial" w:hAnsi="Arial" w:cs="Arial"/>
          <w:sz w:val="22"/>
        </w:rPr>
      </w:pPr>
      <w:r>
        <w:rPr>
          <w:rFonts w:cs="Arial" w:ascii="Arial" w:hAnsi="Arial"/>
          <w:sz w:val="22"/>
        </w:rPr>
        <w:t>WESTERN POWER TRADING FORUM</w:t>
      </w:r>
    </w:p>
    <w:p>
      <w:pPr>
        <w:pStyle w:val="Normal"/>
        <w:ind w:firstLine="504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October 29, 2001 </w:t>
      </w:r>
      <w:r>
        <w:br w:type="page"/>
      </w:r>
    </w:p>
    <w:p>
      <w:pPr>
        <w:pStyle w:val="Normal"/>
        <w:rPr>
          <w:rFonts w:ascii="Arial" w:hAnsi="Arial" w:cs="Arial"/>
          <w:sz w:val="22"/>
        </w:rPr>
      </w:pPr>
      <w:r>
        <w:rPr>
          <w:rFonts w:cs="Arial" w:ascii="Arial" w:hAnsi="Arial"/>
          <w:sz w:val="22"/>
        </w:rPr>
      </w:r>
    </w:p>
    <w:p>
      <w:pPr>
        <w:pStyle w:val="DoubleSpacing"/>
        <w:jc w:val="center"/>
        <w:rPr>
          <w:rFonts w:ascii="Arial" w:hAnsi="Arial" w:cs="Arial"/>
          <w:sz w:val="22"/>
        </w:rPr>
      </w:pPr>
      <w:r>
        <w:rPr>
          <w:rFonts w:cs="Arial" w:ascii="Arial" w:hAnsi="Arial"/>
          <w:b/>
          <w:sz w:val="22"/>
        </w:rPr>
        <w:t>CERTIFICATE OF SERVICE</w:t>
      </w:r>
    </w:p>
    <w:p>
      <w:pPr>
        <w:pStyle w:val="SingleSpacing"/>
        <w:ind w:firstLine="720" w:end="0"/>
        <w:jc w:val="both"/>
        <w:rPr>
          <w:rFonts w:ascii="Arial" w:hAnsi="Arial" w:cs="Arial"/>
          <w:sz w:val="22"/>
        </w:rPr>
      </w:pPr>
      <w:r>
        <w:rPr>
          <w:rFonts w:cs="Arial" w:ascii="Arial" w:hAnsi="Arial"/>
          <w:sz w:val="22"/>
        </w:rPr>
      </w:r>
    </w:p>
    <w:p>
      <w:pPr>
        <w:pStyle w:val="SingleSpacing"/>
        <w:spacing w:lineRule="auto" w:line="360"/>
        <w:ind w:firstLine="720" w:end="0"/>
        <w:jc w:val="both"/>
        <w:rPr/>
      </w:pPr>
      <w:r>
        <w:rPr>
          <w:rFonts w:cs="Arial" w:ascii="Arial" w:hAnsi="Arial"/>
          <w:sz w:val="22"/>
        </w:rPr>
        <w:t>I hereby certify that I have this day served the foregoing document upon the following persons designated on the official service list compiled by the Secretary in Docket No. ER01-889-000</w:t>
      </w:r>
      <w:r>
        <w:rPr>
          <w:rFonts w:cs="Arial" w:ascii="Arial" w:hAnsi="Arial"/>
          <w:b/>
          <w:sz w:val="22"/>
        </w:rPr>
        <w:t xml:space="preserve"> </w:t>
      </w:r>
      <w:r>
        <w:rPr>
          <w:rFonts w:cs="Arial" w:ascii="Arial" w:hAnsi="Arial"/>
          <w:sz w:val="22"/>
        </w:rPr>
        <w:t>in accordance with the requirements of Rule 2010 of the Commission's Rules of Practice and Procedure, 18 C.F.R. §385.2010 (1997):</w:t>
      </w:r>
    </w:p>
    <w:p>
      <w:pPr>
        <w:pStyle w:val="DoubleSpacing"/>
        <w:rPr/>
      </w:pPr>
      <w:r>
        <w:rPr>
          <w:rFonts w:cs="Arial" w:ascii="Arial" w:hAnsi="Arial"/>
          <w:sz w:val="22"/>
        </w:rPr>
        <w:tab/>
        <w:t>Dated at Woodland Hills, California on this 29</w:t>
      </w:r>
      <w:r>
        <w:rPr>
          <w:rFonts w:cs="Arial" w:ascii="Arial" w:hAnsi="Arial"/>
          <w:sz w:val="22"/>
          <w:vertAlign w:val="superscript"/>
        </w:rPr>
        <w:t>th</w:t>
      </w:r>
      <w:r>
        <w:rPr>
          <w:rFonts w:cs="Arial" w:ascii="Arial" w:hAnsi="Arial"/>
          <w:sz w:val="22"/>
        </w:rPr>
        <w:t xml:space="preserve"> day of October, 2000.</w:t>
      </w:r>
    </w:p>
    <w:p>
      <w:pPr>
        <w:pStyle w:val="DoubleSpacing"/>
        <w:rPr>
          <w:rFonts w:ascii="Arial" w:hAnsi="Arial" w:cs="Arial"/>
          <w:sz w:val="22"/>
        </w:rPr>
      </w:pPr>
      <w:r>
        <w:rPr>
          <w:rFonts w:cs="Arial" w:ascii="Arial" w:hAnsi="Arial"/>
          <w:sz w:val="22"/>
        </w:rPr>
      </w:r>
    </w:p>
    <w:p>
      <w:pPr>
        <w:pStyle w:val="DoubleSpacing"/>
        <w:rPr>
          <w:rFonts w:ascii="Arial" w:hAnsi="Arial" w:cs="Arial"/>
          <w:sz w:val="22"/>
        </w:rPr>
      </w:pPr>
      <w:r>
        <w:rPr>
          <w:rFonts w:cs="Arial" w:ascii="Arial" w:hAnsi="Arial"/>
          <w:sz w:val="22"/>
        </w:rPr>
        <w:tab/>
        <w:tab/>
        <w:tab/>
        <w:tab/>
        <w:tab/>
        <w:tab/>
        <w:tab/>
        <w:tab/>
        <w:tab/>
        <w:tab/>
        <w:tab/>
        <w:tab/>
        <w:tab/>
        <w:tab/>
        <w:tab/>
        <w:tab/>
        <w:tab/>
        <w:tab/>
        <w:t>_________________________________</w:t>
      </w:r>
    </w:p>
    <w:p>
      <w:pPr>
        <w:pStyle w:val="Normal"/>
        <w:jc w:val="center"/>
        <w:rPr>
          <w:rFonts w:ascii="Arial" w:hAnsi="Arial" w:cs="Arial"/>
          <w:sz w:val="22"/>
        </w:rPr>
      </w:pPr>
      <w:r>
        <w:rPr>
          <w:rFonts w:cs="Arial" w:ascii="Arial" w:hAnsi="Arial"/>
          <w:sz w:val="22"/>
        </w:rPr>
        <w:tab/>
        <w:tab/>
        <w:t>Michelle Dangott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hanging="2160" w:start="2160" w:end="0"/>
        <w:jc w:val="both"/>
        <w:rPr>
          <w:rFonts w:ascii="Arial" w:hAnsi="Arial" w:cs="Arial"/>
          <w:sz w:val="22"/>
        </w:rPr>
      </w:pPr>
      <w:r>
        <w:rPr>
          <w:rFonts w:cs="Arial" w:ascii="Arial" w:hAnsi="Arial"/>
          <w:sz w:val="22"/>
        </w:rPr>
      </w:r>
    </w:p>
    <w:sectPr>
      <w:headerReference w:type="default" r:id="rId2"/>
      <w:footerReference w:type="default" r:id="rId3"/>
      <w:footnotePr>
        <w:numFmt w:val="decimal"/>
      </w:footnotePr>
      <w:type w:val="nextPage"/>
      <w:pgSz w:w="12240" w:h="15840"/>
      <w:pgMar w:left="1440" w:right="1440" w:gutter="0" w:header="720" w:top="1440" w:footer="720" w:bottom="1104"/>
      <w:pgNumType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w:altName w:val="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w:ascii="Arial" w:hAnsi="Arial"/>
          <w:sz w:val="18"/>
        </w:rPr>
        <w:t>18 CFR §§ 385.214.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720"/>
      </w:pPr>
      <w:rPr>
        <w:u w:val="none"/>
      </w:rPr>
    </w:lvl>
    <w:lvl w:ilvl="1">
      <w:start w:val="1"/>
      <w:numFmt w:val="upperLetter"/>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4"/>
      <w:numFmt w:val="upperLetter"/>
      <w:lvlText w:val="%1."/>
      <w:lvlJc w:val="start"/>
      <w:pPr>
        <w:tabs>
          <w:tab w:val="num" w:pos="1080"/>
        </w:tabs>
        <w:ind w:start="1080" w:hanging="360"/>
      </w:pPr>
      <w:rPr>
        <w:u w:val="none"/>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u w:val="single"/>
    </w:rPr>
  </w:style>
  <w:style w:type="paragraph" w:styleId="Heading2">
    <w:name w:val="heading 2"/>
    <w:basedOn w:val="Normal"/>
    <w:next w:val="Normal"/>
    <w:qFormat/>
    <w:pPr>
      <w:keepNext w:val="true"/>
      <w:spacing w:lineRule="auto" w:line="480"/>
      <w:outlineLvl w:val="1"/>
    </w:pPr>
    <w:rPr>
      <w:i/>
      <w:iCs/>
      <w:u w:val="single"/>
    </w:rPr>
  </w:style>
  <w:style w:type="paragraph" w:styleId="Heading3">
    <w:name w:val="heading 3"/>
    <w:basedOn w:val="Normal"/>
    <w:next w:val="Normal"/>
    <w:qFormat/>
    <w:pPr>
      <w:keepNext w:val="true"/>
      <w:jc w:val="center"/>
      <w:outlineLvl w:val="2"/>
    </w:pPr>
    <w:rPr>
      <w:b/>
    </w:rPr>
  </w:style>
  <w:style w:type="character" w:styleId="WW8Num1z0">
    <w:name w:val="WW8Num1z0"/>
    <w:qFormat/>
    <w:rPr>
      <w:u w:val="none"/>
    </w:rPr>
  </w:style>
  <w:style w:type="character" w:styleId="WW8Num1z1">
    <w:name w:val="WW8Num1z1"/>
    <w:qFormat/>
    <w:rPr/>
  </w:style>
  <w:style w:type="character" w:styleId="WW8Num2z0">
    <w:name w:val="WW8Num2z0"/>
    <w:qFormat/>
    <w:rPr/>
  </w:style>
  <w:style w:type="character" w:styleId="WW8Num3z0">
    <w:name w:val="WW8Num3z0"/>
    <w:qFormat/>
    <w:rPr>
      <w:u w:val="none"/>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u w:val="none"/>
    </w:rPr>
  </w:style>
  <w:style w:type="character" w:styleId="WW8Num11z0">
    <w:name w:val="WW8Num11z0"/>
    <w:qFormat/>
    <w:rPr/>
  </w:style>
  <w:style w:type="character" w:styleId="WW8Num12z0">
    <w:name w:val="WW8Num12z0"/>
    <w:qFormat/>
    <w:rPr>
      <w:u w:val="none"/>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 w:hAnsi="Courier" w:eastAsia="Times New Roman" w:cs="Courier"/>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CommentText">
    <w:name w:val="Comment Text"/>
    <w:basedOn w:val="Normal"/>
    <w:qFormat/>
    <w:pPr/>
    <w:rPr>
      <w:sz w:val="20"/>
      <w:szCs w:val="20"/>
    </w:rPr>
  </w:style>
  <w:style w:type="paragraph" w:styleId="blockindent">
    <w:name w:val="block indent"/>
    <w:basedOn w:val="Normal"/>
    <w:qFormat/>
    <w:pPr>
      <w:spacing w:lineRule="auto" w:line="480"/>
      <w:ind w:firstLine="720" w:start="0" w:end="0"/>
    </w:pPr>
    <w:rPr/>
  </w:style>
  <w:style w:type="paragraph" w:styleId="BodyText2">
    <w:name w:val="Body Text 2"/>
    <w:basedOn w:val="Normal"/>
    <w:qFormat/>
    <w:pPr>
      <w:spacing w:lineRule="auto" w:line="480"/>
    </w:pPr>
    <w:rPr>
      <w:i/>
      <w:iCs/>
      <w:u w:val="single"/>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hanging="0" w:start="710" w:end="0"/>
    </w:pPr>
    <w:rPr/>
  </w:style>
  <w:style w:type="paragraph" w:styleId="BodyTextIndent3">
    <w:name w:val="Body Text Indent 3"/>
    <w:basedOn w:val="Normal"/>
    <w:qFormat/>
    <w:pPr>
      <w:autoSpaceDE w:val="false"/>
      <w:spacing w:lineRule="auto" w:line="480"/>
      <w:ind w:firstLine="360" w:start="360" w:end="0"/>
    </w:pPr>
    <w:rPr/>
  </w:style>
  <w:style w:type="paragraph" w:styleId="QA">
    <w:name w:val="Q&amp;A"/>
    <w:basedOn w:val="Normal"/>
    <w:qFormat/>
    <w:pPr>
      <w:widowControl w:val="false"/>
      <w:tabs>
        <w:tab w:val="clear" w:pos="720"/>
        <w:tab w:val="left" w:pos="1080" w:leader="none"/>
      </w:tabs>
      <w:overflowPunct w:val="false"/>
      <w:autoSpaceDE w:val="false"/>
      <w:spacing w:lineRule="auto" w:line="360"/>
      <w:ind w:hanging="360" w:start="720" w:end="0"/>
      <w:textAlignment w:val="baseline"/>
    </w:pPr>
    <w:rPr>
      <w:spacing w:val="-3"/>
      <w:szCs w:val="20"/>
    </w:rPr>
  </w:style>
  <w:style w:type="paragraph" w:styleId="DoubleSpacing">
    <w:name w:val="Double Spacing"/>
    <w:basedOn w:val="Normal"/>
    <w:qFormat/>
    <w:pPr>
      <w:widowControl w:val="false"/>
      <w:overflowPunct w:val="false"/>
      <w:autoSpaceDE w:val="false"/>
      <w:spacing w:lineRule="exact" w:line="480"/>
      <w:textAlignment w:val="baseline"/>
    </w:pPr>
    <w:rPr>
      <w:rFonts w:ascii="Courier New" w:hAnsi="Courier New" w:cs="Courier New"/>
      <w:szCs w:val="20"/>
    </w:rPr>
  </w:style>
  <w:style w:type="paragraph" w:styleId="SingleSpacing">
    <w:name w:val="Single Spacing"/>
    <w:basedOn w:val="Normal"/>
    <w:qFormat/>
    <w:pPr>
      <w:widowControl w:val="false"/>
      <w:overflowPunct w:val="false"/>
      <w:autoSpaceDE w:val="false"/>
      <w:spacing w:lineRule="exact" w:line="240"/>
      <w:textAlignment w:val="baseline"/>
    </w:pPr>
    <w:rPr>
      <w:rFonts w:ascii="Courier New" w:hAnsi="Courier New" w:cs="Courier New"/>
      <w:szCs w:val="20"/>
    </w:rPr>
  </w:style>
  <w:style w:type="paragraph" w:styleId="BodyText3">
    <w:name w:val="Body Text 3"/>
    <w:basedOn w:val="Normal"/>
    <w:qFormat/>
    <w:pPr>
      <w:autoSpaceDE w:val="false"/>
      <w:spacing w:lineRule="auto" w:line="480"/>
      <w:jc w:val="both"/>
    </w:pPr>
    <w:rPr>
      <w:rFonts w:ascii="Arial" w:hAnsi="Arial" w:cs="Arial"/>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2001-10-27T18:23:00Z</dcterms:created>
  <dc:creator>Andrew Brown</dc:creator>
  <dc:description/>
  <dc:language>en-CA</dc:language>
  <cp:lastModifiedBy>Daniel W. Douglass</cp:lastModifiedBy>
  <cp:lastPrinted>2001-10-29T09:33:00Z</cp:lastPrinted>
  <dcterms:modified xsi:type="dcterms:W3CDTF">2001-10-29T15:07:00Z</dcterms:modified>
  <cp:revision>23</cp:revision>
  <dc:subject/>
  <dc:title>UNITED STATES OF AMERICA</dc:title>
</cp:coreProperties>
</file>