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248" w:leader="none"/>
        </w:tabs>
        <w:rPr>
          <w:rFonts w:ascii="Times New Roman" w:hAnsi="Times New Roman" w:cs="Times New Roman"/>
          <w:b/>
          <w:sz w:val="24"/>
        </w:rPr>
      </w:pPr>
      <w:r>
        <w:rPr>
          <w:rFonts w:cs="Times New Roman" w:ascii="Times New Roman" w:hAnsi="Times New Roman"/>
          <w:b/>
          <w:sz w:val="24"/>
        </w:rPr>
        <w:tab/>
        <w:t>UNITED STATES OF AMERICA</w:t>
      </w:r>
    </w:p>
    <w:p>
      <w:pPr>
        <w:pStyle w:val="Normal"/>
        <w:widowControl/>
        <w:tabs>
          <w:tab w:val="clear" w:pos="720"/>
          <w:tab w:val="center" w:pos="4248" w:leader="none"/>
        </w:tabs>
        <w:rPr>
          <w:rFonts w:ascii="Times New Roman" w:hAnsi="Times New Roman" w:cs="Times New Roman"/>
          <w:b/>
          <w:sz w:val="24"/>
        </w:rPr>
      </w:pPr>
      <w:r>
        <w:rPr>
          <w:rFonts w:cs="Times New Roman" w:ascii="Times New Roman" w:hAnsi="Times New Roman"/>
          <w:b/>
          <w:sz w:val="24"/>
        </w:rPr>
        <w:tab/>
        <w:t>BEFORE THE</w:t>
      </w:r>
    </w:p>
    <w:p>
      <w:pPr>
        <w:pStyle w:val="Normal"/>
        <w:widowControl/>
        <w:tabs>
          <w:tab w:val="clear" w:pos="720"/>
          <w:tab w:val="center" w:pos="4248" w:leader="none"/>
        </w:tabs>
        <w:rPr>
          <w:rFonts w:ascii="Times New Roman" w:hAnsi="Times New Roman" w:cs="Times New Roman"/>
          <w:b/>
          <w:sz w:val="24"/>
        </w:rPr>
      </w:pPr>
      <w:r>
        <w:rPr>
          <w:rFonts w:cs="Times New Roman" w:ascii="Times New Roman" w:hAnsi="Times New Roman"/>
          <w:b/>
          <w:sz w:val="24"/>
        </w:rPr>
        <w:tab/>
        <w:t>FEDERAL ENERGY REGULATORY COMMISSION</w:t>
      </w:r>
    </w:p>
    <w:p>
      <w:pPr>
        <w:pStyle w:val="Normal"/>
        <w:widowControl/>
        <w:rPr>
          <w:rFonts w:ascii="Times New Roman" w:hAnsi="Times New Roman" w:cs="Times New Roman"/>
          <w:b/>
          <w:sz w:val="24"/>
        </w:rPr>
      </w:pPr>
      <w:r>
        <w:rPr>
          <w:rFonts w:cs="Times New Roman" w:ascii="Times New Roman" w:hAnsi="Times New Roman"/>
          <w:b/>
          <w:sz w:val="24"/>
        </w:rPr>
      </w:r>
    </w:p>
    <w:p>
      <w:pPr>
        <w:pStyle w:val="Normal"/>
        <w:widowControl/>
        <w:rPr>
          <w:rFonts w:ascii="Times New Roman" w:hAnsi="Times New Roman" w:cs="Times New Roman"/>
          <w:sz w:val="24"/>
        </w:rPr>
      </w:pPr>
      <w:r>
        <w:rPr>
          <w:rFonts w:cs="Times New Roman" w:ascii="Times New Roman" w:hAnsi="Times New Roman"/>
          <w:sz w:val="24"/>
        </w:rPr>
      </w:r>
    </w:p>
    <w:p>
      <w:pPr>
        <w:pStyle w:val="Normal"/>
        <w:widowControl/>
        <w:rPr>
          <w:rFonts w:ascii="Times New Roman" w:hAnsi="Times New Roman" w:cs="Times New Roman"/>
          <w:sz w:val="24"/>
        </w:rPr>
      </w:pPr>
      <w:r>
        <w:rPr>
          <w:rFonts w:cs="Times New Roman" w:ascii="Times New Roman" w:hAnsi="Times New Roman"/>
          <w:sz w:val="24"/>
        </w:rPr>
        <w:t>San Diego Gas &amp; Electric Company</w:t>
        <w:tab/>
        <w:tab/>
        <w:t>)</w:t>
        <w:tab/>
        <w:t>Docket No. EL00-95-045</w:t>
      </w:r>
    </w:p>
    <w:p>
      <w:pPr>
        <w:pStyle w:val="Normal"/>
        <w:widowControl/>
        <w:rPr>
          <w:rFonts w:ascii="Times New Roman" w:hAnsi="Times New Roman" w:cs="Times New Roman"/>
          <w:sz w:val="24"/>
        </w:rPr>
      </w:pPr>
      <w:r>
        <w:rPr>
          <w:rFonts w:cs="Times New Roman" w:ascii="Times New Roman" w:hAnsi="Times New Roman"/>
          <w:sz w:val="24"/>
        </w:rPr>
      </w:r>
    </w:p>
    <w:p>
      <w:pPr>
        <w:pStyle w:val="Normal"/>
        <w:widowControl/>
        <w:rPr>
          <w:rFonts w:ascii="Times New Roman" w:hAnsi="Times New Roman" w:cs="Times New Roman"/>
          <w:sz w:val="24"/>
        </w:rPr>
      </w:pPr>
      <w:r>
        <w:rPr>
          <w:rFonts w:cs="Times New Roman" w:ascii="Times New Roman" w:hAnsi="Times New Roman"/>
          <w:sz w:val="24"/>
        </w:rPr>
      </w:r>
    </w:p>
    <w:p>
      <w:pPr>
        <w:pStyle w:val="Normal"/>
        <w:widowControl/>
        <w:rPr>
          <w:rFonts w:ascii="Times New Roman" w:hAnsi="Times New Roman" w:cs="Times New Roman"/>
          <w:sz w:val="24"/>
        </w:rPr>
      </w:pPr>
      <w:r>
        <w:rPr>
          <w:rFonts w:cs="Times New Roman" w:ascii="Times New Roman" w:hAnsi="Times New Roman"/>
          <w:sz w:val="24"/>
        </w:rPr>
      </w:r>
    </w:p>
    <w:p>
      <w:pPr>
        <w:pStyle w:val="Normal"/>
        <w:widowControl/>
        <w:tabs>
          <w:tab w:val="clear" w:pos="720"/>
          <w:tab w:val="center" w:pos="4248" w:leader="none"/>
          <w:tab w:val="right" w:pos="8496" w:leader="none"/>
        </w:tabs>
        <w:rPr>
          <w:rFonts w:ascii="Times New Roman" w:hAnsi="Times New Roman" w:cs="Times New Roman"/>
          <w:b/>
          <w:sz w:val="24"/>
        </w:rPr>
      </w:pPr>
      <w:r>
        <w:rPr>
          <w:rFonts w:cs="Times New Roman" w:ascii="Times New Roman" w:hAnsi="Times New Roman"/>
          <w:b/>
          <w:sz w:val="24"/>
        </w:rPr>
        <w:tab/>
        <w:t>FIRST SET OF DISCOVERY REQUESTS OF</w:t>
        <w:tab/>
      </w:r>
    </w:p>
    <w:p>
      <w:pPr>
        <w:pStyle w:val="Normal"/>
        <w:widowControl/>
        <w:jc w:val="center"/>
        <w:rPr>
          <w:rFonts w:ascii="Times New Roman" w:hAnsi="Times New Roman" w:cs="Times New Roman"/>
          <w:b/>
          <w:sz w:val="24"/>
        </w:rPr>
      </w:pPr>
      <w:r>
        <w:rPr>
          <w:rFonts w:cs="Times New Roman" w:ascii="Times New Roman" w:hAnsi="Times New Roman"/>
          <w:b/>
          <w:sz w:val="24"/>
        </w:rPr>
        <w:t>THE METROPOLITAN WATER DISTRICT OF</w:t>
      </w:r>
    </w:p>
    <w:p>
      <w:pPr>
        <w:pStyle w:val="Normal"/>
        <w:widowControl/>
        <w:jc w:val="center"/>
        <w:rPr>
          <w:rFonts w:ascii="Times New Roman" w:hAnsi="Times New Roman" w:cs="Times New Roman"/>
          <w:b/>
          <w:sz w:val="24"/>
        </w:rPr>
      </w:pPr>
      <w:r>
        <w:rPr>
          <w:rFonts w:cs="Times New Roman" w:ascii="Times New Roman" w:hAnsi="Times New Roman"/>
          <w:b/>
          <w:sz w:val="24"/>
        </w:rPr>
        <w:t>SOUTHERN CALIFORNIA TO THE</w:t>
      </w:r>
    </w:p>
    <w:p>
      <w:pPr>
        <w:pStyle w:val="Normal"/>
        <w:widowControl/>
        <w:tabs>
          <w:tab w:val="clear" w:pos="720"/>
          <w:tab w:val="center" w:pos="4248" w:leader="none"/>
        </w:tabs>
        <w:rPr/>
      </w:pPr>
      <w:r>
        <w:rPr>
          <w:rFonts w:cs="Times New Roman" w:ascii="Times New Roman" w:hAnsi="Times New Roman"/>
          <w:sz w:val="24"/>
        </w:rPr>
        <w:tab/>
      </w:r>
      <w:r>
        <w:rPr>
          <w:rFonts w:cs="Times New Roman" w:ascii="Times New Roman" w:hAnsi="Times New Roman"/>
          <w:b/>
          <w:sz w:val="24"/>
        </w:rPr>
        <w:t xml:space="preserve">CALIFORNIA DEPARTMENT OF WATER RESOURCES </w:t>
      </w:r>
    </w:p>
    <w:p>
      <w:pPr>
        <w:pStyle w:val="Normal"/>
        <w:widowControl/>
        <w:rPr>
          <w:rFonts w:ascii="Times New Roman" w:hAnsi="Times New Roman" w:cs="Times New Roman"/>
          <w:b/>
          <w:sz w:val="24"/>
        </w:rPr>
      </w:pPr>
      <w:r>
        <w:rPr>
          <w:rFonts w:cs="Times New Roman" w:ascii="Times New Roman" w:hAnsi="Times New Roman"/>
          <w:b/>
          <w:sz w:val="24"/>
        </w:rPr>
      </w:r>
    </w:p>
    <w:p>
      <w:pPr>
        <w:pStyle w:val="Normal"/>
        <w:widowControl/>
        <w:rPr>
          <w:rFonts w:ascii="Times New Roman" w:hAnsi="Times New Roman" w:cs="Times New Roman"/>
          <w:sz w:val="24"/>
        </w:rPr>
      </w:pPr>
      <w:r>
        <w:rPr>
          <w:rFonts w:cs="Times New Roman" w:ascii="Times New Roman" w:hAnsi="Times New Roman"/>
          <w:sz w:val="24"/>
        </w:rPr>
      </w:r>
    </w:p>
    <w:p>
      <w:pPr>
        <w:pStyle w:val="Normal"/>
        <w:widowControl/>
        <w:tabs>
          <w:tab w:val="clear" w:pos="720"/>
          <w:tab w:val="center" w:pos="4248" w:leader="none"/>
        </w:tabs>
        <w:rPr>
          <w:rFonts w:ascii="Times New Roman" w:hAnsi="Times New Roman" w:cs="Times New Roman"/>
          <w:sz w:val="24"/>
        </w:rPr>
      </w:pPr>
      <w:r>
        <w:rPr>
          <w:rFonts w:cs="Times New Roman" w:ascii="Times New Roman" w:hAnsi="Times New Roman"/>
          <w:sz w:val="24"/>
        </w:rPr>
        <w:tab/>
        <w:t xml:space="preserve">I.  </w:t>
      </w:r>
      <w:r>
        <w:rPr>
          <w:rFonts w:cs="Times New Roman" w:ascii="Times New Roman" w:hAnsi="Times New Roman"/>
          <w:sz w:val="24"/>
          <w:u w:val="single"/>
        </w:rPr>
        <w:t>General Instructions</w:t>
      </w:r>
    </w:p>
    <w:p>
      <w:pPr>
        <w:pStyle w:val="Normal"/>
        <w:widowControl/>
        <w:rPr>
          <w:rFonts w:ascii="Times New Roman" w:hAnsi="Times New Roman" w:cs="Times New Roman"/>
          <w:sz w:val="24"/>
        </w:rPr>
      </w:pPr>
      <w:r>
        <w:rPr>
          <w:rFonts w:cs="Times New Roman" w:ascii="Times New Roman" w:hAnsi="Times New Roman"/>
          <w:sz w:val="24"/>
        </w:rPr>
        <w:t xml:space="preserve"> </w:t>
      </w:r>
    </w:p>
    <w:p>
      <w:pPr>
        <w:pStyle w:val="Normal"/>
        <w:widowControl/>
        <w:spacing w:lineRule="auto" w:line="480"/>
        <w:rPr>
          <w:rFonts w:ascii="Times New Roman" w:hAnsi="Times New Roman" w:cs="Times New Roman"/>
          <w:sz w:val="24"/>
        </w:rPr>
      </w:pPr>
      <w:r>
        <w:rPr>
          <w:rFonts w:cs="Times New Roman" w:ascii="Times New Roman" w:hAnsi="Times New Roman"/>
          <w:sz w:val="24"/>
        </w:rPr>
        <w:t xml:space="preserve">The following general instructions apply to all data requests set forth herein. </w:t>
      </w:r>
    </w:p>
    <w:p>
      <w:pPr>
        <w:pStyle w:val="Normal"/>
        <w:widowContro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w:t>
        <w:tab/>
        <w:t xml:space="preserve">Consider all the Definitions and General Instructions herein to be applicable to each item of discovery submitted by The Metropolitan Water District of Southern California to the California Department of Water Resources, whether now or in the future.  These Definitions and General Instructions may be supplemented as necessary. </w:t>
      </w:r>
    </w:p>
    <w:p>
      <w:pPr>
        <w:pStyle w:val="Normal"/>
        <w:widowContro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B.</w:t>
        <w:tab/>
        <w:t xml:space="preserve">These requests for documents and responses are continuing in character so as to require you to file supplemental answers as soon as possible if you obtain further or different information before or after the hearing.  Any supplemental answer should refer to the date and use the number of the original request or subpart thereof. </w:t>
      </w:r>
    </w:p>
    <w:p>
      <w:pPr>
        <w:pStyle w:val="Normal"/>
        <w:widowContro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C.</w:t>
        <w:tab/>
        <w:t>Unless otherwise indicated, the documents for which production is sought shall include all documents dated, prepared, sent, or received during the designated period.</w:t>
      </w:r>
    </w:p>
    <w:p>
      <w:pPr>
        <w:pStyle w:val="Normal"/>
        <w:widowContro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D.</w:t>
        <w:tab/>
        <w:t xml:space="preserve">Responses to discovery referring to documents shall include all documents relating to the time period specified in each of the discovery requests, whether prepared before, during, or after said period. </w:t>
      </w:r>
    </w:p>
    <w:p>
      <w:pPr>
        <w:pStyle w:val="Normal"/>
        <w:widowContro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E.</w:t>
        <w:tab/>
        <w:t>For each separate discovery item, identify (see Definition No. I) the individual(s) responsible (whether primarily or indirectly) for providing the response.  Identify the person(s) with whom contact can be made for data regarding any of the information requested herein.  Further, please designate the proper ISO witness, if any, to cross-examine at the hearing concerning the response.  If witnesses have not yet been selected at the time a data response is provided, please supplement the response once witnesses have been selected to provide the requested information.</w:t>
      </w:r>
    </w:p>
    <w:p>
      <w:pPr>
        <w:pStyle w:val="Normal"/>
        <w:widowContro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F.</w:t>
        <w:tab/>
        <w:t xml:space="preserve">In producing documents and written responses pursuant to this discovery, designate, and restate the request(s) and subpart(s) thereof in response to which each document or response is produced. </w:t>
      </w:r>
    </w:p>
    <w:p>
      <w:pPr>
        <w:pStyle w:val="BodyTextIndent"/>
        <w:widowControl/>
        <w:rPr/>
      </w:pPr>
      <w:r>
        <w:rPr/>
        <w:t>G.</w:t>
        <w:tab/>
        <w:t xml:space="preserve">Where a document or narration responds to more than one request, a duplicate need not be provided.  Where a discovery request can be answered in whole or in part by reference to a response to a preceding or subsequent discovery request (or subpart thereof) of other parties, it is sufficient to indicate by specifying in the response, by number and date, which other discovery response answers it, and by specifying whether it is claimed that the response to the preceding or subsequent discovery request is a full or partial response to the current request being answered.  If the latter, the response to the balance of the current discovery request shall be completed. </w:t>
      </w:r>
    </w:p>
    <w:p>
      <w:pPr>
        <w:pStyle w:val="Normal"/>
        <w:widowContro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H.</w:t>
        <w:tab/>
        <w:t xml:space="preserve">Whenever these discovery requests specifically request an answer rather than the identification of documents, an answer is required and the production of documents in lieu thereof will not substitute for an answer. </w:t>
      </w:r>
    </w:p>
    <w:p>
      <w:pPr>
        <w:pStyle w:val="Normal"/>
        <w:widowContro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I.</w:t>
        <w:tab/>
        <w:t xml:space="preserve">If information requested is not available in the exact form requested, provide such data or documents as are available and responsive to the particular discovery request. </w:t>
      </w:r>
    </w:p>
    <w:p>
      <w:pPr>
        <w:pStyle w:val="BodyTextIndent"/>
        <w:widowControl/>
        <w:rPr/>
      </w:pPr>
      <w:r>
        <w:rPr/>
        <w:t>J.</w:t>
        <w:tab/>
        <w:t xml:space="preserve">As to any discovery request consisting of a number of separate subdivisions, or related parts or portions, a complete response is required to each part or portion with the same effect as if it were propounded as a separate discovery request. </w:t>
      </w:r>
    </w:p>
    <w:p>
      <w:pPr>
        <w:pStyle w:val="BodyTextIndent"/>
        <w:widowControl/>
        <w:rPr/>
      </w:pPr>
      <w:r>
        <w:rPr/>
        <w:t>K.</w:t>
        <w:tab/>
        <w:t xml:space="preserve">Any objection to a discovery request should clearly indicate to which part or portion of the discovery request the objection is directed. </w:t>
      </w:r>
    </w:p>
    <w:p>
      <w:pPr>
        <w:pStyle w:val="Normal"/>
        <w:widowContro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L.</w:t>
        <w:tab/>
        <w:t>For each computer generated document identified (see Definition No. H) or produced in a response, state separately (a) what types of data files or tapes are included in the input and the source thereof; (b) the computer program; (c) a description of the recordation system employed (including program description, flow charts, etc.); and (d) the identification (see Definition No. I) of the person or persons, during the designated period, who were in charge of the collection of input materials, the processing of input materials, the data bases utilized, and/or the programming to obtain such output.</w:t>
      </w:r>
    </w:p>
    <w:p>
      <w:pPr>
        <w:pStyle w:val="Normal"/>
        <w:widowContro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M.</w:t>
        <w:tab/>
        <w:t xml:space="preserve">In all cases where the discovery request calls for information by year or years, indicate whether the information is provided on a calendar or fiscal year basis.  If provided on a fiscal year basis, state the dates on which each fiscal year began and ended. </w:t>
      </w:r>
    </w:p>
    <w:p>
      <w:pPr>
        <w:pStyle w:val="Normal"/>
        <w:widowContro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N.</w:t>
        <w:tab/>
        <w:t>If any document described in any request for documents is no longer in your possession or control, state whether it:  (a) is missing or lost; (b) has been destroyed; (c) has been transferred voluntarily or involuntarily to others; or (d) has been otherwise disposed of.</w:t>
      </w:r>
    </w:p>
    <w:p>
      <w:pPr>
        <w:pStyle w:val="Normal"/>
        <w:widowContro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O.</w:t>
        <w:tab/>
        <w:t xml:space="preserve">If any document, in whole or in part, covered by this request is withheld for whatever reason, please furnish a list identifying all withheld documents in the following manner:  (a) a brief description of the document; (b) date of document; (c) name of each author or preparer; (d) name of each person who received the document; and (e) the reason for withholding it and a statement of facts constituting the justification and basis therefor (see Definition No. J). </w:t>
      </w:r>
    </w:p>
    <w:p>
      <w:pPr>
        <w:pStyle w:val="Normal"/>
        <w:widowContro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P.</w:t>
        <w:tab/>
        <w:t>If, in answering any of these discovery requests, there is deemed to be any ambiguity in interpreting either the discovery request or a definition or instruction applicable thereto, promptly call counsel for The  Metropolitan Water District of Southern California to obtain a clarification.</w:t>
      </w:r>
    </w:p>
    <w:p>
      <w:pPr>
        <w:pStyle w:val="Normal"/>
        <w:widowContro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Q.</w:t>
        <w:tab/>
        <w:t xml:space="preserve">Each document and individual response of more than one page shall be stapled or otherwise bound, and each page thereof consecutively numbered. </w:t>
      </w:r>
    </w:p>
    <w:p>
      <w:pPr>
        <w:pStyle w:val="Normal"/>
        <w:widowControl/>
        <w:tabs>
          <w:tab w:val="clear" w:pos="720"/>
          <w:tab w:val="left" w:pos="-1440" w:leader="none"/>
        </w:tabs>
        <w:spacing w:lineRule="auto" w:line="480"/>
        <w:ind w:hanging="720" w:start="720" w:end="0"/>
        <w:rPr>
          <w:rFonts w:ascii="Times New Roman" w:hAnsi="Times New Roman" w:cs="Times New Roman"/>
          <w:b/>
          <w:sz w:val="24"/>
        </w:rPr>
      </w:pPr>
      <w:r>
        <w:rPr>
          <w:rFonts w:cs="Times New Roman" w:ascii="Times New Roman" w:hAnsi="Times New Roman"/>
          <w:sz w:val="24"/>
        </w:rPr>
        <w:t>R.</w:t>
        <w:tab/>
        <w:t>Please provide a set of responses in both hard copy and electronic format by electronic mail or on diskettes to each of the following:</w:t>
      </w:r>
    </w:p>
    <w:p>
      <w:pPr>
        <w:pStyle w:val="Normal"/>
        <w:widowControl/>
        <w:ind w:firstLine="2160" w:end="0"/>
        <w:rPr>
          <w:rFonts w:ascii="Times New Roman" w:hAnsi="Times New Roman" w:cs="Times New Roman"/>
          <w:sz w:val="24"/>
        </w:rPr>
      </w:pPr>
      <w:r>
        <w:rPr>
          <w:rFonts w:cs="Times New Roman" w:ascii="Times New Roman" w:hAnsi="Times New Roman"/>
          <w:sz w:val="24"/>
        </w:rPr>
        <w:t>Wallace L. Duncan</w:t>
      </w:r>
    </w:p>
    <w:p>
      <w:pPr>
        <w:pStyle w:val="Normal"/>
        <w:widowControl/>
        <w:ind w:firstLine="2160" w:end="0"/>
        <w:rPr>
          <w:rFonts w:ascii="Times New Roman" w:hAnsi="Times New Roman" w:cs="Times New Roman"/>
          <w:sz w:val="24"/>
        </w:rPr>
      </w:pPr>
      <w:r>
        <w:rPr>
          <w:rFonts w:cs="Times New Roman" w:ascii="Times New Roman" w:hAnsi="Times New Roman"/>
          <w:sz w:val="24"/>
        </w:rPr>
        <w:t>Michael Postar</w:t>
      </w:r>
    </w:p>
    <w:p>
      <w:pPr>
        <w:pStyle w:val="Normal"/>
        <w:widowControl/>
        <w:ind w:firstLine="2160" w:end="0"/>
        <w:rPr>
          <w:rFonts w:ascii="Times New Roman" w:hAnsi="Times New Roman" w:cs="Times New Roman"/>
          <w:sz w:val="24"/>
        </w:rPr>
      </w:pPr>
      <w:r>
        <w:rPr>
          <w:rFonts w:cs="Times New Roman" w:ascii="Times New Roman" w:hAnsi="Times New Roman"/>
          <w:sz w:val="24"/>
        </w:rPr>
        <w:t>Duncan, Weinberg, Genzer &amp; Pembroke, P.C.</w:t>
      </w:r>
    </w:p>
    <w:p>
      <w:pPr>
        <w:pStyle w:val="Normal"/>
        <w:widowControl/>
        <w:ind w:firstLine="2160" w:end="0"/>
        <w:rPr>
          <w:rFonts w:ascii="Times New Roman" w:hAnsi="Times New Roman" w:cs="Times New Roman"/>
          <w:sz w:val="24"/>
        </w:rPr>
      </w:pPr>
      <w:r>
        <w:rPr>
          <w:rFonts w:cs="Times New Roman" w:ascii="Times New Roman" w:hAnsi="Times New Roman"/>
          <w:sz w:val="24"/>
        </w:rPr>
        <w:t xml:space="preserve">1615 M Street, N.W. </w:t>
      </w:r>
    </w:p>
    <w:p>
      <w:pPr>
        <w:pStyle w:val="Normal"/>
        <w:widowControl/>
        <w:ind w:firstLine="2160" w:end="0"/>
        <w:rPr>
          <w:rFonts w:ascii="Times New Roman" w:hAnsi="Times New Roman" w:cs="Times New Roman"/>
          <w:sz w:val="24"/>
        </w:rPr>
      </w:pPr>
      <w:r>
        <w:rPr>
          <w:rFonts w:cs="Times New Roman" w:ascii="Times New Roman" w:hAnsi="Times New Roman"/>
          <w:sz w:val="24"/>
        </w:rPr>
        <w:t xml:space="preserve">Suite 800 </w:t>
      </w:r>
    </w:p>
    <w:p>
      <w:pPr>
        <w:pStyle w:val="Normal"/>
        <w:widowControl/>
        <w:ind w:firstLine="2160" w:end="0"/>
        <w:rPr>
          <w:rFonts w:ascii="Times New Roman" w:hAnsi="Times New Roman" w:cs="Times New Roman"/>
          <w:sz w:val="24"/>
        </w:rPr>
      </w:pPr>
      <w:r>
        <w:rPr>
          <w:rFonts w:cs="Times New Roman" w:ascii="Times New Roman" w:hAnsi="Times New Roman"/>
          <w:sz w:val="24"/>
        </w:rPr>
        <w:t xml:space="preserve">Washington, D.C.  20036 </w:t>
      </w:r>
    </w:p>
    <w:p>
      <w:pPr>
        <w:pStyle w:val="Normal"/>
        <w:widowControl/>
        <w:ind w:firstLine="2160" w:end="0"/>
        <w:rPr>
          <w:rFonts w:ascii="Times New Roman" w:hAnsi="Times New Roman" w:cs="Times New Roman"/>
          <w:sz w:val="24"/>
        </w:rPr>
      </w:pPr>
      <w:r>
        <w:rPr>
          <w:rFonts w:cs="Times New Roman" w:ascii="Times New Roman" w:hAnsi="Times New Roman"/>
          <w:sz w:val="24"/>
        </w:rPr>
        <w:t>(202) 467</w:t>
        <w:noBreakHyphen/>
        <w:t xml:space="preserve">6370  </w:t>
      </w:r>
    </w:p>
    <w:p>
      <w:pPr>
        <w:pStyle w:val="Normal"/>
        <w:widowControl/>
        <w:ind w:firstLine="2160" w:end="0"/>
        <w:rPr>
          <w:rFonts w:ascii="Times New Roman" w:hAnsi="Times New Roman" w:cs="Times New Roman"/>
          <w:sz w:val="24"/>
        </w:rPr>
      </w:pPr>
      <w:r>
        <w:rPr>
          <w:rFonts w:cs="Times New Roman" w:ascii="Times New Roman" w:hAnsi="Times New Roman"/>
          <w:sz w:val="24"/>
        </w:rPr>
        <w:t>mrp@dwgp.com</w:t>
      </w:r>
    </w:p>
    <w:p>
      <w:pPr>
        <w:pStyle w:val="1"/>
        <w:widowControl/>
        <w:numPr>
          <w:ilvl w:val="0"/>
          <w:numId w:val="0"/>
        </w:numPr>
        <w:ind w:hanging="0" w:start="0"/>
        <w:rPr>
          <w:rFonts w:ascii="Times New Roman" w:hAnsi="Times New Roman" w:cs="Times New Roman"/>
          <w:sz w:val="24"/>
        </w:rPr>
      </w:pPr>
      <w:r>
        <w:rPr>
          <w:rFonts w:cs="Times New Roman" w:ascii="Times New Roman" w:hAnsi="Times New Roman"/>
          <w:sz w:val="24"/>
        </w:rPr>
      </w:r>
    </w:p>
    <w:p>
      <w:pPr>
        <w:pStyle w:val="Normal"/>
        <w:widowControl/>
        <w:ind w:firstLine="720" w:start="1440" w:end="0"/>
        <w:rPr>
          <w:rFonts w:ascii="Times New Roman" w:hAnsi="Times New Roman" w:cs="Times New Roman"/>
          <w:sz w:val="24"/>
        </w:rPr>
      </w:pPr>
      <w:r>
        <w:rPr>
          <w:rFonts w:cs="Times New Roman" w:ascii="Times New Roman" w:hAnsi="Times New Roman"/>
          <w:sz w:val="24"/>
        </w:rPr>
        <w:t>Diana Mahmud, Esq.</w:t>
      </w:r>
    </w:p>
    <w:p>
      <w:pPr>
        <w:pStyle w:val="Normal"/>
        <w:widowControl/>
        <w:rPr>
          <w:rFonts w:ascii="Times New Roman" w:hAnsi="Times New Roman" w:cs="Times New Roman"/>
          <w:sz w:val="24"/>
        </w:rPr>
      </w:pPr>
      <w:r>
        <w:rPr>
          <w:rFonts w:cs="Times New Roman" w:ascii="Times New Roman" w:hAnsi="Times New Roman"/>
          <w:sz w:val="24"/>
        </w:rPr>
        <w:tab/>
        <w:tab/>
        <w:tab/>
        <w:t>Deputy General Counsel</w:t>
      </w:r>
    </w:p>
    <w:p>
      <w:pPr>
        <w:pStyle w:val="Normal"/>
        <w:widowControl/>
        <w:rPr>
          <w:rFonts w:ascii="Times New Roman" w:hAnsi="Times New Roman" w:cs="Times New Roman"/>
          <w:sz w:val="24"/>
        </w:rPr>
      </w:pPr>
      <w:r>
        <w:rPr>
          <w:rFonts w:cs="Times New Roman" w:ascii="Times New Roman" w:hAnsi="Times New Roman"/>
          <w:sz w:val="24"/>
        </w:rPr>
        <w:tab/>
        <w:tab/>
        <w:tab/>
        <w:t>The Metropolitan Water District</w:t>
      </w:r>
    </w:p>
    <w:p>
      <w:pPr>
        <w:pStyle w:val="Normal"/>
        <w:widowControl/>
        <w:rPr>
          <w:rFonts w:ascii="Times New Roman" w:hAnsi="Times New Roman" w:cs="Times New Roman"/>
          <w:sz w:val="24"/>
        </w:rPr>
      </w:pPr>
      <w:r>
        <w:rPr>
          <w:rFonts w:cs="Times New Roman" w:ascii="Times New Roman" w:hAnsi="Times New Roman"/>
          <w:sz w:val="24"/>
        </w:rPr>
        <w:tab/>
        <w:tab/>
        <w:tab/>
        <w:t xml:space="preserve">  of Southern California</w:t>
      </w:r>
    </w:p>
    <w:p>
      <w:pPr>
        <w:pStyle w:val="Normal"/>
        <w:widowControl/>
        <w:rPr>
          <w:rFonts w:ascii="Times New Roman" w:hAnsi="Times New Roman" w:cs="Times New Roman"/>
          <w:sz w:val="24"/>
        </w:rPr>
      </w:pPr>
      <w:r>
        <w:rPr>
          <w:rFonts w:cs="Times New Roman" w:ascii="Times New Roman" w:hAnsi="Times New Roman"/>
          <w:sz w:val="24"/>
        </w:rPr>
        <w:tab/>
        <w:tab/>
        <w:tab/>
        <w:t>P.O. Box 54153</w:t>
      </w:r>
    </w:p>
    <w:p>
      <w:pPr>
        <w:pStyle w:val="Normal"/>
        <w:widowControl/>
        <w:rPr>
          <w:rFonts w:ascii="Times New Roman" w:hAnsi="Times New Roman" w:cs="Times New Roman"/>
          <w:sz w:val="24"/>
        </w:rPr>
      </w:pPr>
      <w:r>
        <w:rPr>
          <w:rFonts w:cs="Times New Roman" w:ascii="Times New Roman" w:hAnsi="Times New Roman"/>
          <w:sz w:val="24"/>
        </w:rPr>
        <w:tab/>
        <w:tab/>
        <w:tab/>
        <w:t>Los Angeles, California  90054-0153</w:t>
      </w:r>
    </w:p>
    <w:p>
      <w:pPr>
        <w:pStyle w:val="Normal"/>
        <w:widowControl/>
        <w:rPr>
          <w:rFonts w:ascii="Times New Roman" w:hAnsi="Times New Roman" w:cs="Times New Roman"/>
          <w:sz w:val="24"/>
        </w:rPr>
      </w:pPr>
      <w:r>
        <w:rPr>
          <w:rFonts w:cs="Times New Roman" w:ascii="Times New Roman" w:hAnsi="Times New Roman"/>
          <w:sz w:val="24"/>
        </w:rPr>
        <w:tab/>
        <w:tab/>
        <w:tab/>
        <w:t>(213) 217-6985</w:t>
      </w:r>
    </w:p>
    <w:p>
      <w:pPr>
        <w:pStyle w:val="Normal"/>
        <w:widowControl/>
        <w:rPr>
          <w:rFonts w:ascii="Times New Roman" w:hAnsi="Times New Roman" w:cs="Times New Roman"/>
          <w:sz w:val="24"/>
        </w:rPr>
      </w:pPr>
      <w:r>
        <w:rPr>
          <w:rFonts w:cs="Times New Roman" w:ascii="Times New Roman" w:hAnsi="Times New Roman"/>
          <w:sz w:val="24"/>
        </w:rPr>
        <w:tab/>
        <w:tab/>
        <w:tab/>
        <w:t>dmahmud@mwdh2o.com</w:t>
      </w:r>
    </w:p>
    <w:p>
      <w:pPr>
        <w:pStyle w:val="Normal"/>
        <w:widowControl/>
        <w:ind w:firstLine="2160" w:end="0"/>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S.</w:t>
        <w:tab/>
        <w:t xml:space="preserve">Provide one copy of all data requests submitted to you by any other party hereto, and your response thereto, as provided in Paragraph R.  </w:t>
      </w:r>
    </w:p>
    <w:p>
      <w:pPr>
        <w:pStyle w:val="Normal"/>
        <w:widowContro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T.</w:t>
        <w:tab/>
        <w:t xml:space="preserve">Responses to these discovery requests should be transmitted as they become available, and in any event not later 4 business days from receipt of a data request.  </w:t>
      </w:r>
    </w:p>
    <w:p>
      <w:pPr>
        <w:pStyle w:val="Normal"/>
        <w:widowControl/>
        <w:tabs>
          <w:tab w:val="clear" w:pos="720"/>
          <w:tab w:val="center" w:pos="4248" w:leader="none"/>
        </w:tabs>
        <w:spacing w:lineRule="auto" w:line="480"/>
        <w:rPr>
          <w:rFonts w:ascii="Times New Roman" w:hAnsi="Times New Roman" w:cs="Times New Roman"/>
          <w:sz w:val="24"/>
        </w:rPr>
      </w:pPr>
      <w:r>
        <w:rPr>
          <w:rFonts w:cs="Times New Roman" w:ascii="Times New Roman" w:hAnsi="Times New Roman"/>
          <w:sz w:val="24"/>
        </w:rPr>
        <w:tab/>
        <w:t xml:space="preserve">II.  </w:t>
      </w:r>
      <w:r>
        <w:rPr>
          <w:rFonts w:cs="Times New Roman" w:ascii="Times New Roman" w:hAnsi="Times New Roman"/>
          <w:sz w:val="24"/>
          <w:u w:val="single"/>
        </w:rPr>
        <w:t>Definitions</w:t>
      </w:r>
    </w:p>
    <w:p>
      <w:pPr>
        <w:pStyle w:val="Normal"/>
        <w:widowContro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w:t>
        <w:tab/>
        <w:t xml:space="preserve">The terms "and" and "or" shall be construed either disjunctively or conjunctively whenever appropriate in order to bring within the scope of this discovery any information or documents which might otherwise be considered to be beyond their scope. </w:t>
      </w:r>
    </w:p>
    <w:p>
      <w:pPr>
        <w:pStyle w:val="Normal"/>
        <w:widowContro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B.</w:t>
        <w:tab/>
        <w:t xml:space="preserve">The singular form of a word shall be interpreted as plural, and the plural form of a word shall be interpreted as singular whenever appropriate in order to bring within the scope of this discovery request any information or documents which might otherwise be considered to be beyond their scope. </w:t>
      </w:r>
    </w:p>
    <w:p>
      <w:pPr>
        <w:pStyle w:val="Normal"/>
        <w:widowContro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C.</w:t>
        <w:tab/>
        <w:t xml:space="preserve">The term "communications" includes all verbal and written communications of every kind, including but not limited to telephone calls, conferences, notes, correspondence, and all memoranda concerning the requested communications.  Where communications are not in writing, provide copies of all memoranda and documents made relating to the requested communication and describe in full the substance of the communication to the extent that the substance is not reflected in the memoranda and documents provided. </w:t>
      </w:r>
    </w:p>
    <w:p>
      <w:pPr>
        <w:pStyle w:val="Normal"/>
        <w:widowContro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D.</w:t>
        <w:tab/>
        <w:t>The term "document" shall include, without limitation, all writings and records of every type in your possession, control, or custody, including but not limited to the following items, whether printed or reproduced by any process, or written or produced by hand, and whether or not claimed to be privileged or otherwise excludable from discovery:  computer data files, information stored on computer tapes, disks, or diskettes, tapes, inputs, outputs, and printouts; notes; letters; correspondence; communications; telegrams; memoranda; summaries and records of telephonic and telegraphic communications; summaries and records of personal conversations; diaries; appointment books; reports (including any and all draft, preliminary, intermediate, and final reports); surveys; studies (including, but not limited to, load flow, engineering, general economic, and market studies (see Definition No. P); comparisons; tabulations; budgets; workpapers; charts; plans; maps; drawings; engineering and other diagrams (including "one</w:t>
        <w:noBreakHyphen/>
        <w:t xml:space="preserve">line" diagrams); photographs; film; microfilm; microfiche; tape and other mechanical and electrical audio and video recordings; data compilations; log sheets; ledgers; vouchers; accounting statements; books; pamphlets; bulletins; minutes and records of corporate and other meetings; transcripts; stenographic records; testimony and exhibits, including workpapers; copies, reports, and summaries of interviews and speeches; reports and summaries of investigations; opinions and reports of consultants; opinions of counsel; reports and summaries of negotiations; press releases; newspaper clippings; drafts and revisions of draft of documents; and any and all other records, written, electrical, mechanical, and otherwise.  "Documents" shall also refer to copies of documents (even though the originals thereof are not in your possession, custody, or control), every copy of a document which contains handwritten or other notations or which otherwise does not duplicate the originals or any other copy, and all attachments or appendices to any documents. </w:t>
      </w:r>
    </w:p>
    <w:p>
      <w:pPr>
        <w:pStyle w:val="Normal"/>
        <w:widowContro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G.</w:t>
        <w:tab/>
        <w:t xml:space="preserve">"FERC" or "Commission" denotes the Federal Energy Regulatory Commission. </w:t>
      </w:r>
    </w:p>
    <w:p>
      <w:pPr>
        <w:pStyle w:val="Normal"/>
        <w:widowContro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H.</w:t>
        <w:tab/>
        <w:t>"Identification" of a document includes stating: (a) the identity of each person who wrote, dictated, or otherwise participated in the preparation of the document; (b) the location of the document; (c) the identity of each person having custody of or control over the document.  "Identification" of a document includes identifying all documents known or believed to exist, whether or not in the custody of you, your attorneys, or your other representatives of the ISO.</w:t>
      </w:r>
    </w:p>
    <w:p>
      <w:pPr>
        <w:pStyle w:val="Normal"/>
        <w:widowContro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I.</w:t>
        <w:tab/>
        <w:t xml:space="preserve">"Identification" of a person includes stating his or her full name, most recent known home address and telephone number, most recent known business address and telephone number, present position, and prior connection to or association with any party to this proceeding, including position at the time of connection to the information requested. </w:t>
      </w:r>
    </w:p>
    <w:p>
      <w:pPr>
        <w:pStyle w:val="Normal"/>
        <w:widowContro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J.</w:t>
        <w:tab/>
        <w:t xml:space="preserve">"Justify," "explain," "support," "state," and similar terms indicate and call for a full and complete explication and explanation of all reasoning involved, identification (see Definition No. H) of all documents, information, studies and reports (see Definition No. P) relied upon, used or referred to, and summary of all facts relied upon, stating the basis therefor (see Definition No. O). </w:t>
      </w:r>
    </w:p>
    <w:p>
      <w:pPr>
        <w:pStyle w:val="Normal"/>
        <w:widowControl/>
        <w:tabs>
          <w:tab w:val="clear" w:pos="720"/>
          <w:tab w:val="left" w:pos="-1440" w:leader="none"/>
        </w:tabs>
        <w:spacing w:lineRule="auto" w:line="480"/>
        <w:ind w:hanging="720" w:start="720" w:end="0"/>
        <w:rPr/>
      </w:pPr>
      <w:r>
        <w:rPr>
          <w:rFonts w:cs="Times New Roman" w:ascii="Times New Roman" w:hAnsi="Times New Roman"/>
          <w:sz w:val="24"/>
        </w:rPr>
        <w:t>K.</w:t>
        <w:tab/>
        <w:t xml:space="preserve">"Party" and "person" refer to, without limiting the generality of their meaning, every natural person, corporate entity, partnership, association (whether formally organized or </w:t>
      </w:r>
      <w:r>
        <w:rPr>
          <w:rFonts w:cs="Times New Roman" w:ascii="Times New Roman" w:hAnsi="Times New Roman"/>
          <w:sz w:val="24"/>
          <w:u w:val="single"/>
        </w:rPr>
        <w:t>ad</w:t>
      </w:r>
      <w:r>
        <w:rPr>
          <w:rFonts w:cs="Times New Roman" w:ascii="Times New Roman" w:hAnsi="Times New Roman"/>
          <w:sz w:val="24"/>
        </w:rPr>
        <w:t xml:space="preserve"> </w:t>
      </w:r>
      <w:r>
        <w:rPr>
          <w:rFonts w:cs="Times New Roman" w:ascii="Times New Roman" w:hAnsi="Times New Roman"/>
          <w:sz w:val="24"/>
          <w:u w:val="single"/>
        </w:rPr>
        <w:t>hoc</w:t>
      </w:r>
      <w:r>
        <w:rPr>
          <w:rFonts w:cs="Times New Roman" w:ascii="Times New Roman" w:hAnsi="Times New Roman"/>
          <w:sz w:val="24"/>
        </w:rPr>
        <w:t xml:space="preserve">), joint venture, unit operation, cooperative, municipality, commission, governmental body, or agency. </w:t>
      </w:r>
    </w:p>
    <w:p>
      <w:pPr>
        <w:pStyle w:val="Normal"/>
        <w:widowContro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L.</w:t>
        <w:tab/>
        <w:t xml:space="preserve">"Policy" or "position" means each rule, procedure, or directive, formal or informal, written or unwritten, and each common understanding or course of conduct which was recognized as such by you. </w:t>
      </w:r>
    </w:p>
    <w:p>
      <w:pPr>
        <w:pStyle w:val="Normal"/>
        <w:widowContro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M.</w:t>
        <w:tab/>
        <w:t xml:space="preserve">"Providing copies" or similar phrases shall include the full identification (see Definition No. H) of all requested documents to the extent not already identified therein, as well as to the physical production of all such documents. </w:t>
      </w:r>
    </w:p>
    <w:p>
      <w:pPr>
        <w:pStyle w:val="Normal"/>
        <w:widowContro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N.</w:t>
        <w:tab/>
        <w:t xml:space="preserve">"Relate to," "concern," and similar terms and phrases shall mean consist of, refer to, reflect, comprise, discuss, underlie, comment upon, form the basis for, analyze, mention, or be connected with, in any way, the subject of this discovery. </w:t>
      </w:r>
    </w:p>
    <w:p>
      <w:pPr>
        <w:sectPr>
          <w:headerReference w:type="default" r:id="rId2"/>
          <w:footerReference w:type="default" r:id="rId3"/>
          <w:type w:val="nextPage"/>
          <w:pgSz w:w="12240" w:h="15840"/>
          <w:pgMar w:left="1872" w:right="1872" w:gutter="0" w:header="720" w:top="776" w:footer="1440" w:bottom="1496"/>
          <w:pgNumType w:fmt="decimal"/>
          <w:formProt w:val="false"/>
          <w:textDirection w:val="lrTb"/>
          <w:docGrid w:type="default" w:linePitch="360" w:charSpace="0"/>
        </w:sectPr>
      </w:pPr>
    </w:p>
    <w:p>
      <w:pPr>
        <w:pStyle w:val="Normal"/>
        <w:widowContro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O.</w:t>
        <w:tab/>
        <w:t xml:space="preserve">When requested to "state the basis" for any analysis (including studies and workpapers), proposal, assertion, assumption, description, quantification, or conclusion, please describe every fact, statistic, inference, supposition, estimate, consideration, conclusion, study, and analysis known to you which you believe to support the analysis, proposal, assertion, assumption, description, quantification, or conclusion, or which you contend to be evidence of the truth or accuracy thereof. </w:t>
      </w:r>
    </w:p>
    <w:p>
      <w:pPr>
        <w:pStyle w:val="Normal"/>
        <w:widowContro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P.</w:t>
        <w:tab/>
        <w:t>"Study," "studies," or "report(s)" denotes any document, as defined above, which reflects or was utilized in the collection, evaluation, analysis, summarization, or characterization of information in connection with the subject referred to.</w:t>
      </w:r>
    </w:p>
    <w:p>
      <w:pPr>
        <w:pStyle w:val="Normal"/>
        <w:widowContro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Q.</w:t>
        <w:tab/>
        <w:t>“ISO” means the California Independent System Operator.</w:t>
      </w:r>
    </w:p>
    <w:p>
      <w:pPr>
        <w:pStyle w:val="Normal"/>
        <w:widowContro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R.</w:t>
        <w:tab/>
        <w:t>“Metropolitan” or “MWD” means The Metropolitan Water District of Southern California.</w:t>
      </w:r>
    </w:p>
    <w:p>
      <w:pPr>
        <w:pStyle w:val="BodyTextIndent"/>
        <w:widowControl/>
        <w:rPr/>
      </w:pPr>
      <w:r>
        <w:rPr/>
        <w:t>S.</w:t>
        <w:tab/>
        <w:t>“CDWR/SWP” means the California Department of Water Resources, State Water Project.</w:t>
      </w:r>
    </w:p>
    <w:p>
      <w:pPr>
        <w:pStyle w:val="Normal"/>
        <w:widowControl/>
        <w:spacing w:lineRule="auto" w:line="480"/>
        <w:rPr>
          <w:rFonts w:ascii="Times New Roman" w:hAnsi="Times New Roman" w:cs="Times New Roman"/>
          <w:sz w:val="24"/>
        </w:rPr>
      </w:pPr>
      <w:r>
        <w:rPr>
          <w:rFonts w:cs="Times New Roman" w:ascii="Times New Roman" w:hAnsi="Times New Roman"/>
          <w:sz w:val="24"/>
        </w:rPr>
        <w:t>T.</w:t>
        <w:tab/>
        <w:t>“DOE” means the United States Department of Energy.</w:t>
      </w:r>
    </w:p>
    <w:p>
      <w:pPr>
        <w:pStyle w:val="Normal"/>
        <w:widowControl/>
        <w:spacing w:lineRule="auto" w:line="480"/>
        <w:rPr>
          <w:rFonts w:ascii="Times New Roman" w:hAnsi="Times New Roman" w:cs="Times New Roman"/>
          <w:sz w:val="24"/>
        </w:rPr>
      </w:pPr>
      <w:r>
        <w:rPr>
          <w:rFonts w:cs="Times New Roman" w:ascii="Times New Roman" w:hAnsi="Times New Roman"/>
          <w:sz w:val="24"/>
        </w:rPr>
      </w:r>
    </w:p>
    <w:p>
      <w:pPr>
        <w:sectPr>
          <w:type w:val="continuous"/>
          <w:pgSz w:w="12240" w:h="15840"/>
          <w:pgMar w:left="1872" w:right="1872" w:gutter="0" w:header="720" w:top="776" w:footer="1440" w:bottom="1496"/>
          <w:formProt w:val="false"/>
          <w:textDirection w:val="lrTb"/>
          <w:docGrid w:type="default" w:linePitch="360" w:charSpace="0"/>
        </w:sectPr>
      </w:pPr>
    </w:p>
    <w:p>
      <w:pPr>
        <w:pStyle w:val="Normal"/>
        <w:widowControl/>
        <w:tabs>
          <w:tab w:val="clear" w:pos="720"/>
          <w:tab w:val="center" w:pos="4248" w:leader="none"/>
        </w:tabs>
        <w:spacing w:lineRule="auto" w:line="480"/>
        <w:rPr/>
      </w:pPr>
      <w:r>
        <w:rPr>
          <w:rFonts w:cs="Times New Roman" w:ascii="Times New Roman" w:hAnsi="Times New Roman"/>
          <w:sz w:val="24"/>
        </w:rPr>
        <w:tab/>
      </w:r>
      <w:r>
        <w:rPr>
          <w:rFonts w:cs="Times New Roman" w:ascii="Times New Roman" w:hAnsi="Times New Roman"/>
          <w:b/>
          <w:sz w:val="24"/>
        </w:rPr>
        <w:t xml:space="preserve">III. </w:t>
      </w:r>
      <w:r>
        <w:rPr>
          <w:rFonts w:cs="Times New Roman" w:ascii="Times New Roman" w:hAnsi="Times New Roman"/>
          <w:b/>
          <w:sz w:val="24"/>
          <w:u w:val="single"/>
        </w:rPr>
        <w:t>Data Requests</w:t>
      </w:r>
    </w:p>
    <w:p>
      <w:pPr>
        <w:pStyle w:val="Heading1"/>
        <w:autoSpaceDE w:val="false"/>
        <w:ind w:hanging="0" w:start="0"/>
        <w:rPr>
          <w:rFonts w:ascii="Times New Roman" w:hAnsi="Times New Roman" w:cs="Times New Roman"/>
          <w:b w:val="false"/>
          <w:sz w:val="24"/>
          <w:u w:val="single"/>
        </w:rPr>
      </w:pPr>
      <w:r>
        <w:rPr>
          <w:rFonts w:cs="Times New Roman"/>
          <w:b w:val="false"/>
          <w:sz w:val="24"/>
          <w:u w:val="single"/>
        </w:rPr>
      </w:r>
    </w:p>
    <w:p>
      <w:pPr>
        <w:pStyle w:val="Heading1"/>
        <w:autoSpaceDE w:val="false"/>
        <w:ind w:hanging="0" w:start="0"/>
        <w:rPr/>
      </w:pPr>
      <w:r>
        <w:rPr/>
      </w:r>
    </w:p>
    <w:p>
      <w:pPr>
        <w:pStyle w:val="Heading1"/>
        <w:autoSpaceDE w:val="false"/>
        <w:ind w:hanging="0" w:start="0"/>
        <w:rPr/>
      </w:pPr>
      <w:r>
        <w:rPr/>
        <w:t>MWD-CDWR/SWP-1</w:t>
      </w:r>
    </w:p>
    <w:p>
      <w:pPr>
        <w:pStyle w:val="Pleadingparagraph"/>
        <w:spacing w:lineRule="auto" w:line="240"/>
        <w:rPr/>
      </w:pPr>
      <w:r>
        <w:rPr/>
        <w:t>Did CDWR/SWP consider itself subject to the order issued by the Department of Energy under Section 202(c) of the Federal Power Act (“DOE order”) to furnish energy and ancillary services to the California ISO upon its request?</w:t>
      </w:r>
    </w:p>
    <w:p>
      <w:pPr>
        <w:pStyle w:val="Normal"/>
        <w:widowControl/>
        <w:rPr/>
      </w:pPr>
      <w:r>
        <w:rPr/>
      </w:r>
    </w:p>
    <w:p>
      <w:pPr>
        <w:pStyle w:val="Heading1"/>
        <w:autoSpaceDE w:val="false"/>
        <w:ind w:hanging="0" w:start="0"/>
        <w:rPr/>
      </w:pPr>
      <w:r>
        <w:rPr/>
        <w:t>MWD-CDWR/SWP-2</w:t>
      </w:r>
    </w:p>
    <w:p>
      <w:pPr>
        <w:pStyle w:val="Normal"/>
        <w:widowControl/>
        <w:rPr>
          <w:rFonts w:ascii="Times New Roman" w:hAnsi="Times New Roman" w:cs="Times New Roman"/>
          <w:sz w:val="24"/>
        </w:rPr>
      </w:pPr>
      <w:r>
        <w:rPr>
          <w:rFonts w:cs="Times New Roman" w:ascii="Times New Roman" w:hAnsi="Times New Roman"/>
          <w:sz w:val="24"/>
        </w:rPr>
        <w:t>Did the ISO contact CDWR/SWP to request that it generate, deliver, interchange or transmit electric energy or ancillary services pursuant to the DOE order?</w:t>
      </w:r>
    </w:p>
    <w:p>
      <w:pPr>
        <w:pStyle w:val="Normal"/>
        <w:widowControl/>
        <w:rPr>
          <w:rFonts w:ascii="Times New Roman" w:hAnsi="Times New Roman" w:cs="Times New Roman"/>
          <w:sz w:val="24"/>
        </w:rPr>
      </w:pPr>
      <w:r>
        <w:rPr>
          <w:rFonts w:cs="Times New Roman" w:ascii="Times New Roman" w:hAnsi="Times New Roman"/>
          <w:sz w:val="24"/>
        </w:rPr>
      </w:r>
    </w:p>
    <w:p>
      <w:pPr>
        <w:pStyle w:val="Normal"/>
        <w:widowControl/>
        <w:rPr>
          <w:rFonts w:ascii="Times New Roman" w:hAnsi="Times New Roman" w:cs="Times New Roman"/>
          <w:sz w:val="24"/>
        </w:rPr>
      </w:pPr>
      <w:r>
        <w:rPr>
          <w:rFonts w:cs="Times New Roman" w:ascii="Times New Roman" w:hAnsi="Times New Roman"/>
          <w:b/>
          <w:sz w:val="24"/>
        </w:rPr>
        <w:t>MWD-CDWR/SWP-3</w:t>
      </w:r>
    </w:p>
    <w:p>
      <w:pPr>
        <w:pStyle w:val="Normal"/>
        <w:widowControl/>
        <w:rPr>
          <w:rFonts w:ascii="Times New Roman" w:hAnsi="Times New Roman" w:cs="Times New Roman"/>
          <w:sz w:val="24"/>
        </w:rPr>
      </w:pPr>
      <w:r>
        <w:rPr>
          <w:rFonts w:cs="Times New Roman" w:ascii="Times New Roman" w:hAnsi="Times New Roman"/>
          <w:sz w:val="24"/>
        </w:rPr>
        <w:t>If MWD-CDWR/SWP-2 is answered in the affirmative, what means of communication did the ISO use to inform CDWR/SWP of the amount and type of energy or ancillary services requested under the DOE order?</w:t>
      </w:r>
    </w:p>
    <w:p>
      <w:pPr>
        <w:pStyle w:val="Normal"/>
        <w:widowControl/>
        <w:rPr>
          <w:rFonts w:ascii="Times New Roman" w:hAnsi="Times New Roman" w:cs="Times New Roman"/>
          <w:sz w:val="24"/>
        </w:rPr>
      </w:pPr>
      <w:r>
        <w:rPr>
          <w:rFonts w:cs="Times New Roman" w:ascii="Times New Roman" w:hAnsi="Times New Roman"/>
          <w:sz w:val="24"/>
        </w:rPr>
      </w:r>
    </w:p>
    <w:p>
      <w:pPr>
        <w:pStyle w:val="Normal"/>
        <w:widowControl/>
        <w:numPr>
          <w:ilvl w:val="0"/>
          <w:numId w:val="3"/>
        </w:numPr>
        <w:tabs>
          <w:tab w:val="clear" w:pos="720"/>
          <w:tab w:val="left" w:pos="1440" w:leader="none"/>
        </w:tabs>
        <w:ind w:hanging="720" w:start="1440" w:end="0"/>
        <w:rPr>
          <w:rFonts w:ascii="Times New Roman" w:hAnsi="Times New Roman" w:cs="Times New Roman"/>
          <w:sz w:val="24"/>
        </w:rPr>
      </w:pPr>
      <w:r>
        <w:rPr>
          <w:rFonts w:cs="Times New Roman" w:ascii="Times New Roman" w:hAnsi="Times New Roman"/>
          <w:sz w:val="24"/>
        </w:rPr>
        <w:t>State whether the communication from the ISO was oral.  If so, did CDWR/SWP record it?</w:t>
      </w:r>
    </w:p>
    <w:p>
      <w:pPr>
        <w:pStyle w:val="Normal"/>
        <w:widowControl/>
        <w:numPr>
          <w:ilvl w:val="0"/>
          <w:numId w:val="3"/>
        </w:numPr>
        <w:tabs>
          <w:tab w:val="clear" w:pos="720"/>
          <w:tab w:val="left" w:pos="1440" w:leader="none"/>
        </w:tabs>
        <w:ind w:hanging="720" w:start="1440" w:end="0"/>
        <w:rPr>
          <w:rFonts w:ascii="Times New Roman" w:hAnsi="Times New Roman" w:cs="Times New Roman"/>
          <w:sz w:val="24"/>
        </w:rPr>
      </w:pPr>
      <w:r>
        <w:rPr>
          <w:rFonts w:cs="Times New Roman" w:ascii="Times New Roman" w:hAnsi="Times New Roman"/>
          <w:sz w:val="24"/>
        </w:rPr>
        <w:t xml:space="preserve">If the ISO communication was written, identify how it was made (e.g., facsimile or email) to CDWR/SWP. </w:t>
      </w:r>
    </w:p>
    <w:p>
      <w:pPr>
        <w:pStyle w:val="Normal"/>
        <w:widowControl/>
        <w:numPr>
          <w:ilvl w:val="0"/>
          <w:numId w:val="3"/>
        </w:numPr>
        <w:tabs>
          <w:tab w:val="clear" w:pos="720"/>
          <w:tab w:val="left" w:pos="1440" w:leader="none"/>
        </w:tabs>
        <w:ind w:hanging="720" w:start="1440" w:end="0"/>
        <w:rPr>
          <w:rFonts w:ascii="Times New Roman" w:hAnsi="Times New Roman" w:cs="Times New Roman"/>
          <w:sz w:val="24"/>
        </w:rPr>
      </w:pPr>
      <w:r>
        <w:rPr>
          <w:rFonts w:cs="Times New Roman" w:ascii="Times New Roman" w:hAnsi="Times New Roman"/>
          <w:sz w:val="24"/>
        </w:rPr>
        <w:t>Produce all records evidencing such communications.</w:t>
      </w:r>
    </w:p>
    <w:p>
      <w:pPr>
        <w:pStyle w:val="Normal"/>
        <w:widowControl/>
        <w:rPr>
          <w:rFonts w:ascii="Times New Roman" w:hAnsi="Times New Roman" w:cs="Times New Roman"/>
          <w:sz w:val="24"/>
        </w:rPr>
      </w:pPr>
      <w:r>
        <w:rPr>
          <w:rFonts w:cs="Times New Roman" w:ascii="Times New Roman" w:hAnsi="Times New Roman"/>
          <w:sz w:val="24"/>
        </w:rPr>
      </w:r>
    </w:p>
    <w:p>
      <w:pPr>
        <w:pStyle w:val="Normal"/>
        <w:widowControl/>
        <w:rPr>
          <w:rFonts w:ascii="Times New Roman" w:hAnsi="Times New Roman" w:cs="Times New Roman"/>
          <w:b/>
          <w:sz w:val="24"/>
        </w:rPr>
      </w:pPr>
      <w:r>
        <w:rPr>
          <w:rFonts w:cs="Times New Roman" w:ascii="Times New Roman" w:hAnsi="Times New Roman"/>
          <w:b/>
          <w:sz w:val="24"/>
        </w:rPr>
        <w:t>MWD-CDWR/SWP-4</w:t>
      </w:r>
    </w:p>
    <w:p>
      <w:pPr>
        <w:pStyle w:val="Normal"/>
        <w:widowControl/>
        <w:rPr>
          <w:rFonts w:ascii="Times New Roman" w:hAnsi="Times New Roman" w:cs="Times New Roman"/>
          <w:sz w:val="24"/>
        </w:rPr>
      </w:pPr>
      <w:r>
        <w:rPr>
          <w:rFonts w:cs="Times New Roman" w:ascii="Times New Roman" w:hAnsi="Times New Roman"/>
          <w:sz w:val="24"/>
        </w:rPr>
        <w:t xml:space="preserve">If CDWR/SWP received the communication described in MWD-CDWR/SWP-3 and subsequently furnished energy or ancillary services to the ISO the following day in accordance with an ISO dispatch, did it consider such energy or services to be produced pursuant to the DOE order?  </w:t>
      </w:r>
    </w:p>
    <w:p>
      <w:pPr>
        <w:pStyle w:val="Normal"/>
        <w:widowControl/>
        <w:rPr>
          <w:rFonts w:ascii="Times New Roman" w:hAnsi="Times New Roman" w:cs="Times New Roman"/>
          <w:sz w:val="24"/>
        </w:rPr>
      </w:pPr>
      <w:r>
        <w:rPr>
          <w:rFonts w:cs="Times New Roman" w:ascii="Times New Roman" w:hAnsi="Times New Roman"/>
          <w:sz w:val="24"/>
        </w:rPr>
      </w:r>
    </w:p>
    <w:p>
      <w:pPr>
        <w:pStyle w:val="Normal"/>
        <w:widowControl/>
        <w:numPr>
          <w:ilvl w:val="0"/>
          <w:numId w:val="5"/>
        </w:numPr>
        <w:rPr>
          <w:rFonts w:ascii="Times New Roman" w:hAnsi="Times New Roman" w:cs="Times New Roman"/>
          <w:sz w:val="24"/>
        </w:rPr>
      </w:pPr>
      <w:r>
        <w:rPr>
          <w:rFonts w:cs="Times New Roman" w:ascii="Times New Roman" w:hAnsi="Times New Roman"/>
          <w:sz w:val="24"/>
        </w:rPr>
        <w:t>Explain in detail the basis for your response.</w:t>
      </w:r>
    </w:p>
    <w:p>
      <w:pPr>
        <w:pStyle w:val="Normal"/>
        <w:widowControl/>
        <w:numPr>
          <w:ilvl w:val="0"/>
          <w:numId w:val="5"/>
        </w:numPr>
        <w:rPr>
          <w:rFonts w:ascii="Times New Roman" w:hAnsi="Times New Roman" w:cs="Times New Roman"/>
          <w:sz w:val="24"/>
        </w:rPr>
      </w:pPr>
      <w:r>
        <w:rPr>
          <w:rFonts w:cs="Times New Roman" w:ascii="Times New Roman" w:hAnsi="Times New Roman"/>
          <w:sz w:val="24"/>
        </w:rPr>
        <w:t>Provide all documents that support your position.</w:t>
      </w:r>
    </w:p>
    <w:p>
      <w:pPr>
        <w:pStyle w:val="Normal"/>
        <w:widowControl/>
        <w:rPr>
          <w:rFonts w:ascii="Times New Roman" w:hAnsi="Times New Roman" w:cs="Times New Roman"/>
          <w:sz w:val="24"/>
        </w:rPr>
      </w:pPr>
      <w:r>
        <w:rPr>
          <w:rFonts w:cs="Times New Roman" w:ascii="Times New Roman" w:hAnsi="Times New Roman"/>
          <w:sz w:val="24"/>
        </w:rPr>
      </w:r>
    </w:p>
    <w:p>
      <w:pPr>
        <w:pStyle w:val="Pleadingparagraph"/>
        <w:autoSpaceDE w:val="false"/>
        <w:spacing w:lineRule="auto" w:line="240"/>
        <w:rPr>
          <w:b/>
        </w:rPr>
      </w:pPr>
      <w:r>
        <w:rPr>
          <w:b/>
        </w:rPr>
        <w:t>MWD-CDWR/SWP-5</w:t>
      </w:r>
    </w:p>
    <w:p>
      <w:pPr>
        <w:pStyle w:val="Pleadingparagraph"/>
        <w:autoSpaceDE w:val="false"/>
        <w:spacing w:lineRule="auto" w:line="240"/>
        <w:rPr/>
      </w:pPr>
      <w:r>
        <w:rPr/>
        <w:t xml:space="preserve">From December 20, 2000 through February 6, 2001, did CDWR/SWP furnish energy or ancillary services to the ISO other than that produced pursuant to a DOE order?  </w:t>
      </w:r>
    </w:p>
    <w:p>
      <w:pPr>
        <w:pStyle w:val="Pleadingparagraph"/>
        <w:autoSpaceDE w:val="false"/>
        <w:spacing w:lineRule="auto" w:line="240"/>
        <w:rPr/>
      </w:pPr>
      <w:r>
        <w:rPr/>
      </w:r>
    </w:p>
    <w:p>
      <w:pPr>
        <w:pStyle w:val="Pleadingparagraph"/>
        <w:autoSpaceDE w:val="false"/>
        <w:spacing w:lineRule="auto" w:line="240"/>
        <w:rPr>
          <w:b/>
        </w:rPr>
      </w:pPr>
      <w:r>
        <w:rPr>
          <w:b/>
        </w:rPr>
        <w:t>MWD-CDWR/SWP-6</w:t>
      </w:r>
    </w:p>
    <w:p>
      <w:pPr>
        <w:pStyle w:val="Pleadingparagraph"/>
        <w:autoSpaceDE w:val="false"/>
        <w:spacing w:lineRule="auto" w:line="240"/>
        <w:rPr/>
      </w:pPr>
      <w:r>
        <w:rPr/>
        <w:t>If MWD-CDWR/SWP-5 is answered in the affirmative, describe the nature of the transactions under which CDWR/SWP provided energy or ancillary services to the ISO that were not furnished pursuant to DOE order.</w:t>
      </w:r>
    </w:p>
    <w:p>
      <w:pPr>
        <w:pStyle w:val="Pleadingparagraph"/>
        <w:autoSpaceDE w:val="false"/>
        <w:spacing w:lineRule="auto" w:line="240"/>
        <w:rPr/>
      </w:pPr>
      <w:r>
        <w:rPr/>
      </w:r>
    </w:p>
    <w:p>
      <w:pPr>
        <w:pStyle w:val="Normal"/>
        <w:widowControl/>
        <w:numPr>
          <w:ilvl w:val="0"/>
          <w:numId w:val="4"/>
        </w:numPr>
        <w:rPr>
          <w:rFonts w:ascii="Times New Roman" w:hAnsi="Times New Roman" w:cs="Times New Roman"/>
          <w:sz w:val="24"/>
        </w:rPr>
      </w:pPr>
      <w:r>
        <w:rPr>
          <w:rFonts w:cs="Times New Roman" w:ascii="Times New Roman" w:hAnsi="Times New Roman"/>
          <w:sz w:val="24"/>
        </w:rPr>
        <w:t>Explain in detail the basis for your response.</w:t>
      </w:r>
    </w:p>
    <w:p>
      <w:pPr>
        <w:pStyle w:val="Pleadingparagraph"/>
        <w:numPr>
          <w:ilvl w:val="0"/>
          <w:numId w:val="4"/>
        </w:numPr>
        <w:autoSpaceDE w:val="false"/>
        <w:spacing w:lineRule="auto" w:line="240"/>
        <w:rPr/>
      </w:pPr>
      <w:r>
        <w:rPr/>
        <w:t>Provide all documents that support your position.</w:t>
      </w:r>
    </w:p>
    <w:p>
      <w:pPr>
        <w:pStyle w:val="Pleadingparagraph"/>
        <w:numPr>
          <w:ilvl w:val="0"/>
          <w:numId w:val="4"/>
        </w:numPr>
        <w:autoSpaceDE w:val="false"/>
        <w:spacing w:lineRule="auto" w:line="240"/>
        <w:rPr/>
      </w:pPr>
      <w:r>
        <w:rPr/>
        <w:t>Explain the basis for CDWR/SWP’s distinction between energy and ancillary services furnished to the ISO pursuant to DOE order, and that which was not.</w:t>
      </w:r>
    </w:p>
    <w:sectPr>
      <w:headerReference w:type="default" r:id="rId4"/>
      <w:footerReference w:type="default" r:id="rId5"/>
      <w:type w:val="nextPage"/>
      <w:pgSz w:w="12240" w:h="15840"/>
      <w:pgMar w:left="1872" w:right="1872" w:gutter="0" w:header="720" w:top="77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Fonts w:eastAsia="Baskerville Old Face;Times New Roman"/>
      </w:rPr>
      <w:t xml:space="preserve"> </w:t>
    </w:r>
    <w:r>
      <w:rPr>
        <w:rStyle w:val="PageNumber"/>
      </w:rPr>
      <w:t xml:space="preserve">of </w:t>
    </w:r>
    <w:r>
      <w:rPr>
        <w:rStyle w:val="PageNumber"/>
      </w:rPr>
      <w:fldChar w:fldCharType="begin"/>
    </w:r>
    <w:r>
      <w:rPr>
        <w:rStyle w:val="PageNumber"/>
      </w:rPr>
      <w:instrText xml:space="preserve"> NUMPAGES \* ARABIC </w:instrText>
    </w:r>
    <w:r>
      <w:rPr>
        <w:rStyle w:val="PageNumber"/>
      </w:rPr>
      <w:fldChar w:fldCharType="separate"/>
    </w:r>
    <w:r>
      <w:rPr>
        <w:rStyle w:val="PageNumber"/>
      </w:rPr>
      <w:t>10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48" w:leader="none"/>
        <w:tab w:val="left" w:pos="4608" w:leader="none"/>
        <w:tab w:val="left" w:pos="5328" w:leader="none"/>
        <w:tab w:val="left" w:pos="6048" w:leader="none"/>
        <w:tab w:val="left" w:pos="6768" w:leader="none"/>
        <w:tab w:val="left" w:pos="7488" w:leader="none"/>
        <w:tab w:val="left" w:pos="8208" w:leader="none"/>
        <w:tab w:val="left" w:pos="8928" w:leader="none"/>
      </w:tabs>
      <w:ind w:end="-432"/>
      <w:rPr/>
    </w:pPr>
    <w:r>
      <w:rPr/>
      <w:tab/>
    </w:r>
  </w:p>
  <w:p>
    <w:pPr>
      <w:pStyle w:val="Normal"/>
      <w:ind w:start="-432" w:end="-432"/>
      <w:rPr/>
    </w:pPr>
    <w:r>
      <w:rPr/>
    </w:r>
  </w:p>
  <w:p>
    <w:pPr>
      <w:pStyle w:val="Normal"/>
      <w:spacing w:lineRule="exact" w:line="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TANC-ISO-%1"/>
      <w:lvlJc w:val="start"/>
      <w:pPr>
        <w:tabs>
          <w:tab w:val="num" w:pos="0"/>
        </w:tabs>
        <w:ind w:start="0" w:hanging="0"/>
      </w:pPr>
      <w:rPr>
        <w:sz w:val="24"/>
        <w:szCs w:val="24"/>
        <w:rFonts w:ascii="Times New Roman" w:hAnsi="Times New Roman" w:cs="Times New Roman"/>
      </w:rPr>
    </w:lvl>
  </w:abstractNum>
  <w:abstractNum w:abstractNumId="3">
    <w:lvl w:ilvl="0">
      <w:start w:val="1"/>
      <w:numFmt w:val="lowerLetter"/>
      <w:lvlText w:val="%1)"/>
      <w:lvlJc w:val="start"/>
      <w:pPr>
        <w:tabs>
          <w:tab w:val="num" w:pos="2160"/>
        </w:tabs>
        <w:ind w:start="2160" w:hanging="1440"/>
      </w:pPr>
      <w:rPr/>
    </w:lvl>
  </w:abstractNum>
  <w:abstractNum w:abstractNumId="4">
    <w:lvl w:ilvl="0">
      <w:start w:val="1"/>
      <w:numFmt w:val="lowerLetter"/>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5">
    <w:lvl w:ilvl="0">
      <w:start w:val="1"/>
      <w:numFmt w:val="lowerLetter"/>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Baskerville Old Face;Times New Roman" w:hAnsi="Baskerville Old Face;Times New Roman" w:eastAsia="Times New Roman" w:cs="Baskerville Old Face;Times New Roman"/>
      <w:color w:val="auto"/>
      <w:sz w:val="20"/>
      <w:szCs w:val="24"/>
      <w:lang w:val="en-US" w:bidi="ar-SA" w:eastAsia="zh-CN"/>
    </w:rPr>
  </w:style>
  <w:style w:type="paragraph" w:styleId="Heading1">
    <w:name w:val="heading 1"/>
    <w:basedOn w:val="Normal"/>
    <w:next w:val="Normal"/>
    <w:qFormat/>
    <w:pPr>
      <w:keepNext w:val="true"/>
      <w:widowControl/>
      <w:numPr>
        <w:ilvl w:val="0"/>
        <w:numId w:val="1"/>
      </w:numPr>
      <w:autoSpaceDE w:val="true"/>
      <w:outlineLvl w:val="0"/>
    </w:pPr>
    <w:rPr>
      <w:rFonts w:ascii="Times New Roman" w:hAnsi="Times New Roman" w:cs="Times New Roman"/>
      <w:b/>
      <w:sz w:val="24"/>
      <w:szCs w:val="20"/>
    </w:rPr>
  </w:style>
  <w:style w:type="character" w:styleId="WW8Num2z0">
    <w:name w:val="WW8Num2z0"/>
    <w:qFormat/>
    <w:rPr>
      <w:rFonts w:ascii="Times New Roman" w:hAnsi="Times New Roman" w:cs="Times New Roman"/>
      <w:sz w:val="24"/>
      <w:szCs w:val="24"/>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
    <w:name w:val="1"/>
    <w:basedOn w:val="Normal"/>
    <w:qFormat/>
    <w:pPr>
      <w:numPr>
        <w:ilvl w:val="0"/>
        <w:numId w:val="2"/>
      </w:numPr>
      <w:tabs>
        <w:tab w:val="clear" w:pos="720"/>
      </w:tabs>
    </w:pPr>
    <w:rPr/>
  </w:style>
  <w:style w:type="paragraph" w:styleId="Pleadingparagraph">
    <w:name w:val="Pleading paragraph"/>
    <w:basedOn w:val="Normal"/>
    <w:qFormat/>
    <w:pPr>
      <w:widowControl/>
      <w:autoSpaceDE w:val="true"/>
      <w:spacing w:lineRule="atLeast" w:line="480"/>
    </w:pPr>
    <w:rPr>
      <w:rFonts w:ascii="Times New Roman" w:hAnsi="Times New Roman" w:cs="Times New Roman"/>
      <w:sz w:val="24"/>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s>
      <w:spacing w:lineRule="auto" w:line="480"/>
      <w:ind w:hanging="720" w:start="720" w:end="0"/>
    </w:pPr>
    <w:rPr>
      <w:rFonts w:ascii="Times New Roman" w:hAnsi="Times New Roman" w:cs="Times New Roman"/>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2001-10-25T15:05:00Z</dcterms:created>
  <dc:creator>13W5J01</dc:creator>
  <dc:description/>
  <dc:language>en-CA</dc:language>
  <cp:lastModifiedBy>Diana Mahmud</cp:lastModifiedBy>
  <cp:lastPrinted>2001-10-25T13:38:00Z</cp:lastPrinted>
  <dcterms:modified xsi:type="dcterms:W3CDTF">2001-10-25T18:34:00Z</dcterms:modified>
  <cp:revision>10</cp:revision>
  <dc:subject/>
  <dc:title/>
</cp:coreProperties>
</file>