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80" w:leader="none"/>
        </w:tabs>
        <w:rPr>
          <w:sz w:val="22"/>
        </w:rPr>
      </w:pPr>
      <w:r>
        <w:rPr>
          <w:sz w:val="22"/>
        </w:rPr>
        <w:t xml:space="preserve">Subpoena Requested by: </w:t>
      </w:r>
    </w:p>
    <w:p>
      <w:pPr>
        <w:pStyle w:val="Normal"/>
        <w:widowControl w:val="false"/>
        <w:tabs>
          <w:tab w:val="clear" w:pos="720"/>
          <w:tab w:val="left" w:pos="80" w:leader="none"/>
          <w:tab w:val="left" w:pos="4680" w:leader="none"/>
        </w:tabs>
        <w:rPr>
          <w:sz w:val="22"/>
          <w:u w:val="single"/>
        </w:rPr>
      </w:pPr>
      <w:r>
        <w:rPr>
          <w:sz w:val="22"/>
          <w:u w:val="single"/>
        </w:rPr>
      </w:r>
    </w:p>
    <w:p>
      <w:pPr>
        <w:pStyle w:val="Normal"/>
        <w:widowControl w:val="false"/>
        <w:tabs>
          <w:tab w:val="clear" w:pos="720"/>
          <w:tab w:val="left" w:pos="80" w:leader="none"/>
          <w:tab w:val="left" w:pos="4680" w:leader="none"/>
        </w:tabs>
        <w:rPr/>
      </w:pPr>
      <w:r>
        <w:rPr>
          <w:sz w:val="22"/>
          <w:u w:val="single"/>
        </w:rPr>
        <w:tab/>
        <w:t>Commissioner Carl Wood</w:t>
        <w:tab/>
      </w:r>
      <w:r>
        <w:rPr>
          <w:sz w:val="22"/>
        </w:rPr>
        <w:t>)</w:t>
      </w:r>
    </w:p>
    <w:p>
      <w:pPr>
        <w:pStyle w:val="Normal"/>
        <w:widowControl w:val="false"/>
        <w:tabs>
          <w:tab w:val="clear" w:pos="720"/>
          <w:tab w:val="left" w:pos="80" w:leader="none"/>
          <w:tab w:val="left" w:pos="4680" w:leader="none"/>
        </w:tabs>
        <w:rPr/>
      </w:pPr>
      <w:r>
        <w:rPr>
          <w:i/>
          <w:sz w:val="22"/>
        </w:rPr>
        <w:t xml:space="preserve"> </w:t>
      </w:r>
      <w:r>
        <w:rPr>
          <w:i/>
          <w:sz w:val="22"/>
        </w:rPr>
        <w:t>(Name)</w:t>
        <w:tab/>
      </w:r>
      <w:r>
        <w:rPr>
          <w:sz w:val="22"/>
        </w:rPr>
        <w:t>)</w:t>
      </w:r>
    </w:p>
    <w:p>
      <w:pPr>
        <w:pStyle w:val="Normal"/>
        <w:widowControl w:val="false"/>
        <w:tabs>
          <w:tab w:val="clear" w:pos="720"/>
          <w:tab w:val="left" w:pos="80" w:leader="none"/>
          <w:tab w:val="left" w:pos="4680" w:leader="none"/>
        </w:tabs>
        <w:rPr/>
      </w:pPr>
      <w:r>
        <w:rPr>
          <w:sz w:val="22"/>
          <w:u w:val="single"/>
        </w:rPr>
        <w:tab/>
        <w:t>505 Van Ness Avenue</w:t>
        <w:tab/>
      </w:r>
      <w:r>
        <w:rPr>
          <w:sz w:val="22"/>
        </w:rPr>
        <w:t>)</w:t>
      </w:r>
    </w:p>
    <w:p>
      <w:pPr>
        <w:pStyle w:val="Normal"/>
        <w:widowControl w:val="false"/>
        <w:tabs>
          <w:tab w:val="clear" w:pos="720"/>
          <w:tab w:val="left" w:pos="80" w:leader="none"/>
          <w:tab w:val="left" w:pos="4680" w:leader="none"/>
        </w:tabs>
        <w:rPr>
          <w:sz w:val="22"/>
        </w:rPr>
      </w:pPr>
      <w:r>
        <w:rPr>
          <w:sz w:val="22"/>
        </w:rPr>
        <w:tab/>
        <w:tab/>
        <w:t>)</w:t>
      </w:r>
    </w:p>
    <w:p>
      <w:pPr>
        <w:pStyle w:val="Normal"/>
        <w:widowControl w:val="false"/>
        <w:tabs>
          <w:tab w:val="clear" w:pos="720"/>
          <w:tab w:val="left" w:pos="80" w:leader="none"/>
          <w:tab w:val="left" w:pos="4680" w:leader="none"/>
        </w:tabs>
        <w:rPr/>
      </w:pPr>
      <w:r>
        <w:rPr>
          <w:sz w:val="22"/>
          <w:u w:val="single"/>
        </w:rPr>
        <w:tab/>
        <w:t>San Francisco, CA 94102</w:t>
        <w:tab/>
      </w:r>
      <w:r>
        <w:rPr>
          <w:sz w:val="22"/>
        </w:rPr>
        <w:t>)</w:t>
      </w:r>
    </w:p>
    <w:p>
      <w:pPr>
        <w:pStyle w:val="Normal"/>
        <w:widowControl w:val="false"/>
        <w:tabs>
          <w:tab w:val="clear" w:pos="720"/>
          <w:tab w:val="left" w:pos="80" w:leader="none"/>
          <w:tab w:val="left" w:pos="4680" w:leader="none"/>
        </w:tabs>
        <w:rPr/>
      </w:pPr>
      <w:r>
        <w:rPr>
          <w:i/>
          <w:sz w:val="22"/>
        </w:rPr>
        <w:t xml:space="preserve"> </w:t>
      </w:r>
      <w:r>
        <w:rPr>
          <w:i/>
          <w:sz w:val="22"/>
        </w:rPr>
        <w:t>(Address)</w:t>
      </w:r>
      <w:r>
        <w:rPr>
          <w:sz w:val="22"/>
        </w:rPr>
        <w:tab/>
        <w:t>)</w:t>
      </w:r>
    </w:p>
    <w:p>
      <w:pPr>
        <w:pStyle w:val="Normal"/>
        <w:widowControl w:val="false"/>
        <w:tabs>
          <w:tab w:val="clear" w:pos="720"/>
          <w:tab w:val="left" w:pos="80" w:leader="none"/>
          <w:tab w:val="left" w:pos="4680" w:leader="none"/>
        </w:tabs>
        <w:rPr/>
      </w:pPr>
      <w:r>
        <w:rPr>
          <w:sz w:val="22"/>
          <w:u w:val="single"/>
        </w:rPr>
        <w:tab/>
        <w:t>415 703 2782</w:t>
        <w:tab/>
      </w:r>
      <w:r>
        <w:rPr>
          <w:sz w:val="22"/>
        </w:rPr>
        <w:t>)</w:t>
      </w:r>
    </w:p>
    <w:p>
      <w:pPr>
        <w:pStyle w:val="Normal"/>
        <w:widowControl w:val="false"/>
        <w:tabs>
          <w:tab w:val="clear" w:pos="720"/>
          <w:tab w:val="left" w:pos="80" w:leader="none"/>
          <w:tab w:val="left" w:pos="4680" w:leader="none"/>
        </w:tabs>
        <w:rPr/>
      </w:pPr>
      <w:r>
        <w:rPr>
          <w:i/>
          <w:sz w:val="22"/>
        </w:rPr>
        <w:t>(Telephone)</w:t>
        <w:tab/>
      </w:r>
      <w:r>
        <w:rPr>
          <w:sz w:val="22"/>
        </w:rPr>
        <w:t>)</w:t>
      </w:r>
    </w:p>
    <w:p>
      <w:pPr>
        <w:pStyle w:val="Normal"/>
        <w:widowControl w:val="false"/>
        <w:tabs>
          <w:tab w:val="clear" w:pos="720"/>
          <w:tab w:val="left" w:pos="80" w:leader="none"/>
          <w:tab w:val="left" w:pos="4680" w:leader="none"/>
        </w:tabs>
        <w:rPr>
          <w:sz w:val="22"/>
        </w:rPr>
      </w:pPr>
      <w:r>
        <w:rPr>
          <w:sz w:val="22"/>
        </w:rPr>
        <w:tab/>
        <w:tab/>
        <w:t>)</w:t>
      </w:r>
    </w:p>
    <w:p>
      <w:pPr>
        <w:pStyle w:val="Normal"/>
        <w:widowControl w:val="false"/>
        <w:tabs>
          <w:tab w:val="clear" w:pos="720"/>
          <w:tab w:val="left" w:pos="80" w:leader="none"/>
          <w:tab w:val="left" w:pos="4680" w:leader="none"/>
        </w:tabs>
        <w:rPr/>
      </w:pPr>
      <w:r>
        <w:rPr>
          <w:sz w:val="22"/>
        </w:rPr>
        <w:t>Representing:</w:t>
      </w:r>
      <w:r>
        <w:rPr>
          <w:sz w:val="22"/>
          <w:u w:val="single"/>
        </w:rPr>
        <w:t xml:space="preserve">  CPUC</w:t>
        <w:tab/>
      </w:r>
      <w:r>
        <w:rPr>
          <w:sz w:val="22"/>
        </w:rPr>
        <w:t>)</w:t>
      </w:r>
    </w:p>
    <w:p>
      <w:pPr>
        <w:pStyle w:val="Normal"/>
        <w:widowControl w:val="false"/>
        <w:tabs>
          <w:tab w:val="clear" w:pos="720"/>
          <w:tab w:val="left" w:pos="80" w:leader="none"/>
        </w:tabs>
        <w:rPr>
          <w:i/>
          <w:i/>
          <w:sz w:val="22"/>
        </w:rPr>
      </w:pPr>
      <w:r>
        <w:rPr>
          <w:i/>
          <w:sz w:val="22"/>
        </w:rPr>
        <w:t>(Complainant. Defendant, Other)</w:t>
      </w:r>
    </w:p>
    <w:p>
      <w:pPr>
        <w:pStyle w:val="Normal"/>
        <w:widowControl w:val="false"/>
        <w:tabs>
          <w:tab w:val="clear" w:pos="720"/>
          <w:tab w:val="left" w:pos="80" w:leader="none"/>
        </w:tabs>
        <w:rPr>
          <w:b/>
          <w:i/>
          <w:i/>
          <w:sz w:val="22"/>
        </w:rPr>
      </w:pPr>
      <w:r>
        <w:rPr>
          <w:b/>
          <w:i/>
          <w:sz w:val="22"/>
        </w:rPr>
      </w:r>
    </w:p>
    <w:p>
      <w:pPr>
        <w:pStyle w:val="Heading2"/>
        <w:spacing w:before="0" w:after="120"/>
        <w:ind w:hanging="0" w:start="0"/>
        <w:rPr>
          <w:rFonts w:ascii="Times New Roman" w:hAnsi="Times New Roman" w:cs="Times New Roman"/>
          <w:b w:val="false"/>
          <w:sz w:val="22"/>
        </w:rPr>
      </w:pPr>
      <w:r>
        <w:rPr>
          <w:rFonts w:cs="Times New Roman" w:ascii="Times New Roman" w:hAnsi="Times New Roman"/>
          <w:b w:val="false"/>
          <w:sz w:val="22"/>
        </w:rPr>
        <w:t>PUBLIC UTILITIES COMMISSION OF THE STATE OF CALIFORNIA</w:t>
      </w:r>
    </w:p>
    <w:p>
      <w:pPr>
        <w:pStyle w:val="Normal"/>
        <w:widowControl w:val="false"/>
        <w:tabs>
          <w:tab w:val="clear" w:pos="720"/>
          <w:tab w:val="left" w:pos="80" w:leader="none"/>
          <w:tab w:val="left" w:pos="680" w:leader="none"/>
          <w:tab w:val="left" w:pos="4680" w:leader="none"/>
        </w:tabs>
        <w:rPr/>
      </w:pPr>
      <w:r>
        <w:rPr>
          <w:sz w:val="22"/>
        </w:rPr>
        <w:t>Order Instituting Investigation Into the</w:t>
        <w:tab/>
        <w:t>)</w:t>
      </w:r>
    </w:p>
    <w:p>
      <w:pPr>
        <w:pStyle w:val="Normal"/>
        <w:widowControl w:val="false"/>
        <w:tabs>
          <w:tab w:val="clear" w:pos="720"/>
          <w:tab w:val="left" w:pos="80" w:leader="none"/>
          <w:tab w:val="left" w:pos="680" w:leader="none"/>
          <w:tab w:val="left" w:pos="4680" w:leader="none"/>
        </w:tabs>
        <w:rPr>
          <w:sz w:val="22"/>
        </w:rPr>
      </w:pPr>
      <w:r>
        <w:rPr>
          <w:sz w:val="22"/>
        </w:rPr>
        <w:t>Functioning of the Wholesale Electric</w:t>
        <w:tab/>
        <w:t>)</w:t>
        <w:tab/>
        <w:tab/>
        <w:tab/>
      </w:r>
      <w:r>
        <w:rPr>
          <w:sz w:val="22"/>
          <w:u w:val="single"/>
        </w:rPr>
        <w:t>I.00-08-002</w:t>
      </w:r>
    </w:p>
    <w:p>
      <w:pPr>
        <w:pStyle w:val="Normal"/>
        <w:widowControl w:val="false"/>
        <w:tabs>
          <w:tab w:val="clear" w:pos="720"/>
          <w:tab w:val="left" w:pos="80" w:leader="none"/>
          <w:tab w:val="left" w:pos="680" w:leader="none"/>
          <w:tab w:val="left" w:pos="4680" w:leader="none"/>
        </w:tabs>
        <w:rPr/>
      </w:pPr>
      <w:r>
        <w:rPr>
          <w:sz w:val="22"/>
        </w:rPr>
        <w:t>Market and Associated Impact on Retail Rates</w:t>
        <w:tab/>
        <w:t>)</w:t>
        <w:tab/>
        <w:tab/>
        <w:t xml:space="preserve">    (Proceeding Number)</w:t>
      </w:r>
    </w:p>
    <w:p>
      <w:pPr>
        <w:pStyle w:val="Normal"/>
        <w:widowControl w:val="false"/>
        <w:tabs>
          <w:tab w:val="clear" w:pos="720"/>
          <w:tab w:val="left" w:pos="80" w:leader="none"/>
          <w:tab w:val="left" w:pos="680" w:leader="none"/>
          <w:tab w:val="left" w:pos="4680" w:leader="none"/>
        </w:tabs>
        <w:rPr>
          <w:sz w:val="22"/>
        </w:rPr>
      </w:pPr>
      <w:r>
        <w:rPr>
          <w:sz w:val="22"/>
        </w:rPr>
        <w:tab/>
        <w:tab/>
        <w:tab/>
        <w:t>)</w:t>
      </w:r>
    </w:p>
    <w:p>
      <w:pPr>
        <w:pStyle w:val="Normal"/>
        <w:widowControl w:val="false"/>
        <w:tabs>
          <w:tab w:val="clear" w:pos="720"/>
          <w:tab w:val="left" w:pos="80" w:leader="none"/>
          <w:tab w:val="left" w:pos="680" w:leader="none"/>
          <w:tab w:val="left" w:pos="4680" w:leader="none"/>
        </w:tabs>
        <w:rPr>
          <w:sz w:val="22"/>
        </w:rPr>
      </w:pPr>
      <w:r>
        <w:rPr>
          <w:sz w:val="22"/>
        </w:rPr>
        <w:tab/>
        <w:tab/>
        <w:tab/>
        <w:t>)</w:t>
        <w:tab/>
        <w:tab/>
        <w:t xml:space="preserve">        </w:t>
      </w:r>
      <w:r>
        <w:rPr>
          <w:b/>
          <w:sz w:val="22"/>
        </w:rPr>
        <w:t>SUBPOENA OR</w:t>
      </w:r>
    </w:p>
    <w:p>
      <w:pPr>
        <w:pStyle w:val="Normal"/>
        <w:widowControl w:val="false"/>
        <w:tabs>
          <w:tab w:val="clear" w:pos="720"/>
          <w:tab w:val="left" w:pos="80" w:leader="none"/>
          <w:tab w:val="left" w:pos="680" w:leader="none"/>
          <w:tab w:val="left" w:pos="4680" w:leader="none"/>
        </w:tabs>
        <w:rPr>
          <w:sz w:val="22"/>
        </w:rPr>
      </w:pPr>
      <w:r>
        <w:rPr>
          <w:sz w:val="22"/>
        </w:rPr>
        <w:tab/>
        <w:tab/>
        <w:tab/>
        <w:t>)</w:t>
        <w:tab/>
        <w:tab/>
      </w:r>
      <w:r>
        <w:rPr>
          <w:b/>
          <w:sz w:val="22"/>
        </w:rPr>
        <w:t>SUBPOENA DUCES TECUM</w:t>
      </w:r>
    </w:p>
    <w:p>
      <w:pPr>
        <w:pStyle w:val="Normal"/>
        <w:widowControl w:val="false"/>
        <w:tabs>
          <w:tab w:val="clear" w:pos="720"/>
          <w:tab w:val="left" w:pos="80" w:leader="none"/>
          <w:tab w:val="left" w:pos="680" w:leader="none"/>
          <w:tab w:val="left" w:pos="4680" w:leader="none"/>
        </w:tabs>
        <w:rPr>
          <w:sz w:val="22"/>
        </w:rPr>
      </w:pPr>
      <w:r>
        <w:rPr>
          <w:sz w:val="22"/>
        </w:rPr>
        <w:tab/>
        <w:tab/>
        <w:tab/>
        <w:t>)</w:t>
      </w:r>
    </w:p>
    <w:p>
      <w:pPr>
        <w:pStyle w:val="Normal"/>
        <w:widowControl w:val="false"/>
        <w:tabs>
          <w:tab w:val="clear" w:pos="720"/>
          <w:tab w:val="left" w:pos="80" w:leader="none"/>
          <w:tab w:val="left" w:pos="680" w:leader="none"/>
          <w:tab w:val="left" w:pos="4680" w:leader="none"/>
        </w:tabs>
        <w:rPr/>
      </w:pPr>
      <w:r>
        <w:rPr>
          <w:sz w:val="22"/>
        </w:rPr>
        <w:tab/>
        <w:tab/>
        <w:tab/>
        <w:t>)</w:t>
        <w:tab/>
        <w:tab/>
        <w:t>___</w:t>
      </w:r>
      <w:r>
        <w:rPr>
          <w:b/>
          <w:sz w:val="22"/>
        </w:rPr>
        <w:t>Hearing _</w:t>
      </w:r>
      <w:r>
        <w:rPr>
          <w:b/>
          <w:sz w:val="22"/>
          <w:u w:val="single"/>
        </w:rPr>
        <w:t>X</w:t>
      </w:r>
      <w:r>
        <w:rPr>
          <w:b/>
          <w:sz w:val="22"/>
        </w:rPr>
        <w:t xml:space="preserve">__Deposition </w:t>
      </w:r>
    </w:p>
    <w:p>
      <w:pPr>
        <w:pStyle w:val="Normal"/>
        <w:widowControl w:val="false"/>
        <w:tabs>
          <w:tab w:val="clear" w:pos="720"/>
          <w:tab w:val="left" w:pos="80" w:leader="none"/>
          <w:tab w:val="left" w:pos="680" w:leader="none"/>
          <w:tab w:val="left" w:pos="4680" w:leader="none"/>
          <w:tab w:val="left" w:pos="5220" w:leader="none"/>
          <w:tab w:val="left" w:pos="5920" w:leader="none"/>
          <w:tab w:val="left" w:pos="6440" w:leader="none"/>
        </w:tabs>
        <w:rPr>
          <w:b/>
          <w:sz w:val="22"/>
        </w:rPr>
      </w:pPr>
      <w:r>
        <w:rPr>
          <w:b/>
          <w:sz w:val="22"/>
        </w:rPr>
      </w:r>
    </w:p>
    <w:p>
      <w:pPr>
        <w:pStyle w:val="Normal"/>
        <w:widowControl w:val="false"/>
        <w:tabs>
          <w:tab w:val="clear" w:pos="720"/>
          <w:tab w:val="left" w:pos="80" w:leader="none"/>
          <w:tab w:val="left" w:pos="680" w:leader="none"/>
          <w:tab w:val="left" w:pos="5220" w:leader="none"/>
          <w:tab w:val="left" w:pos="5920" w:leader="none"/>
          <w:tab w:val="left" w:pos="6440" w:leader="none"/>
        </w:tabs>
        <w:spacing w:before="0" w:after="120"/>
        <w:rPr>
          <w:sz w:val="22"/>
        </w:rPr>
      </w:pPr>
      <w:r>
        <w:rPr>
          <w:sz w:val="22"/>
        </w:rPr>
        <w:t xml:space="preserve">THE PEOPLE OF THE STATE OF CALIFORNIA, </w:t>
      </w:r>
    </w:p>
    <w:p>
      <w:pPr>
        <w:pStyle w:val="Normal"/>
        <w:widowControl w:val="false"/>
        <w:tabs>
          <w:tab w:val="clear" w:pos="720"/>
          <w:tab w:val="left" w:pos="80" w:leader="none"/>
          <w:tab w:val="left" w:pos="680" w:leader="none"/>
          <w:tab w:val="left" w:pos="5220" w:leader="none"/>
          <w:tab w:val="left" w:pos="5920" w:leader="none"/>
          <w:tab w:val="left" w:pos="6440" w:leader="none"/>
        </w:tabs>
        <w:rPr>
          <w:sz w:val="22"/>
        </w:rPr>
      </w:pPr>
      <w:r>
        <w:rPr>
          <w:sz w:val="22"/>
        </w:rPr>
        <w:t>TO: The California Independent System Operator Corporation</w:t>
      </w:r>
    </w:p>
    <w:p>
      <w:pPr>
        <w:pStyle w:val="Normal"/>
        <w:widowControl w:val="false"/>
        <w:ind w:start="720" w:end="0"/>
        <w:rPr>
          <w:sz w:val="22"/>
        </w:rPr>
      </w:pPr>
      <w:r>
        <w:rPr>
          <w:sz w:val="22"/>
        </w:rPr>
      </w:r>
    </w:p>
    <w:p>
      <w:pPr>
        <w:pStyle w:val="Normal"/>
        <w:widowControl w:val="false"/>
        <w:rPr/>
      </w:pPr>
      <w:r>
        <w:rPr>
          <w:sz w:val="22"/>
        </w:rPr>
        <w:t>You are ordered to appear before the California Public Utilities Commission, located at 505 Van Ness Avenue, Room 4006, San Francisco, CA 94102</w:t>
      </w:r>
      <w:r>
        <w:rPr>
          <w:b/>
          <w:sz w:val="22"/>
        </w:rPr>
        <w:t xml:space="preserve"> </w:t>
      </w:r>
      <w:r>
        <w:rPr>
          <w:sz w:val="22"/>
        </w:rPr>
        <w:t xml:space="preserve">on October 5, 2000 at 5:00 p.m. to testify as a witness in this matter unless you make a special agreement with Sean Gallagher, (415) 703-2059, to appear at another time.  You are: </w:t>
      </w:r>
    </w:p>
    <w:p>
      <w:pPr>
        <w:pStyle w:val="Normal"/>
        <w:widowControl w:val="false"/>
        <w:rPr>
          <w:sz w:val="22"/>
        </w:rPr>
      </w:pPr>
      <w:r>
        <w:rPr>
          <w:sz w:val="22"/>
        </w:rPr>
      </w:r>
    </w:p>
    <w:p>
      <w:pPr>
        <w:pStyle w:val="Normal"/>
        <w:widowControl w:val="false"/>
        <w:spacing w:before="0" w:after="120"/>
        <w:jc w:val="both"/>
        <w:rPr>
          <w:sz w:val="22"/>
        </w:rPr>
      </w:pPr>
      <w:r>
        <w:rPr>
          <w:sz w:val="22"/>
        </w:rPr>
        <w:t>_____</w:t>
        <w:tab/>
        <w:t xml:space="preserve">Ordered to appear in person. </w:t>
      </w:r>
    </w:p>
    <w:p>
      <w:pPr>
        <w:pStyle w:val="BodyTextIndent"/>
        <w:spacing w:before="0" w:after="120"/>
        <w:ind w:hanging="720" w:start="720" w:end="0"/>
        <w:jc w:val="both"/>
        <w:rPr>
          <w:b w:val="false"/>
        </w:rPr>
      </w:pPr>
      <w:r>
        <w:rPr>
          <w:b w:val="false"/>
        </w:rPr>
        <w:t>_____</w:t>
        <w:tab/>
        <w:t xml:space="preserve">Ordered to appear in person and produce the records described in Attachment _____. affidavit. The personal attendance of the custodian or other qualified witness and the production of the original records is required by this subpoena. </w:t>
      </w:r>
    </w:p>
    <w:p>
      <w:pPr>
        <w:pStyle w:val="BodyTextIndent2"/>
        <w:spacing w:before="0" w:after="120"/>
        <w:ind w:start="720" w:end="0"/>
        <w:rPr/>
      </w:pPr>
      <w:r>
        <w:rPr/>
        <w:t>__</w:t>
      </w:r>
      <w:r>
        <w:rPr>
          <w:u w:val="single"/>
        </w:rPr>
        <w:t>X</w:t>
      </w:r>
      <w:r>
        <w:rPr/>
        <w:t>___</w:t>
        <w:tab/>
        <w:t xml:space="preserve">Not required to appear in person if you produce the records described in Attachment A in compliance with Evidence Code Sections 1560 and 1561. </w:t>
      </w:r>
    </w:p>
    <w:p>
      <w:pPr>
        <w:pStyle w:val="BodyTextIndent3"/>
        <w:tabs>
          <w:tab w:val="clear" w:pos="80"/>
          <w:tab w:val="clear" w:pos="680"/>
          <w:tab w:val="clear" w:pos="780"/>
          <w:tab w:val="clear" w:pos="4860"/>
          <w:tab w:val="clear" w:pos="5220"/>
          <w:tab w:val="clear" w:pos="5920"/>
          <w:tab w:val="clear" w:pos="6360"/>
          <w:tab w:val="clear" w:pos="6440"/>
          <w:tab w:val="clear" w:pos="8580"/>
        </w:tabs>
        <w:spacing w:lineRule="auto" w:line="240" w:before="0" w:after="120"/>
        <w:ind w:hanging="0" w:end="0"/>
        <w:jc w:val="both"/>
        <w:rPr/>
      </w:pPr>
      <w:r>
        <w:rPr/>
        <w:t xml:space="preserve">If you have been subpoenaed as a witness, you are entitled to witness fees and mileage actually traveled. as provided by law.  You may request one day's witness and mileage fees for travel to and from the place you are required to appear.  You may demand these fees at the time of service from the process server or from the party or attorney requesting the subpoena.  If they are not paid or tendered at that time. or unless the subpoena was obtained by the Commission staff, you are not required to appear (public Utilities Code Section 1791). </w:t>
      </w:r>
    </w:p>
    <w:p>
      <w:pPr>
        <w:pStyle w:val="Normal"/>
        <w:spacing w:before="0" w:after="120"/>
        <w:ind w:end="-518"/>
        <w:rPr>
          <w:b/>
          <w:sz w:val="22"/>
        </w:rPr>
      </w:pPr>
      <w:r>
        <w:rPr>
          <w:b/>
          <w:sz w:val="22"/>
        </w:rPr>
        <w:t>DISOBEDIENCE OF THIS SUBPOENA MAY BE PUNISHED AS CONTEMPT BY THIS COMMISSION.</w:t>
      </w:r>
    </w:p>
    <w:p>
      <w:pPr>
        <w:pStyle w:val="Normal"/>
        <w:widowControl w:val="false"/>
        <w:spacing w:before="0" w:after="120"/>
        <w:ind w:start="58" w:end="0"/>
        <w:rPr/>
      </w:pPr>
      <w:r>
        <w:rPr>
          <w:sz w:val="22"/>
        </w:rPr>
        <w:t>By order of the Public Utilities Commission of the State of California.  Given under the seal of this Commission this 21</w:t>
      </w:r>
      <w:r>
        <w:rPr>
          <w:sz w:val="22"/>
          <w:vertAlign w:val="superscript"/>
        </w:rPr>
        <w:t>st</w:t>
      </w:r>
      <w:r>
        <w:rPr>
          <w:sz w:val="22"/>
        </w:rPr>
        <w:t xml:space="preserve"> day of September, 2000.</w:t>
      </w:r>
    </w:p>
    <w:p>
      <w:pPr>
        <w:pStyle w:val="Normal"/>
        <w:widowControl w:val="false"/>
        <w:rPr>
          <w:sz w:val="22"/>
        </w:rPr>
      </w:pPr>
      <w:r>
        <w:rPr>
          <w:sz w:val="22"/>
        </w:rPr>
        <w:tab/>
        <w:tab/>
        <w:tab/>
        <w:tab/>
        <w:tab/>
        <w:tab/>
        <w:tab/>
        <w:tab/>
        <w:tab/>
        <w:tab/>
      </w:r>
    </w:p>
    <w:p>
      <w:pPr>
        <w:pStyle w:val="Normal"/>
        <w:widowControl w:val="false"/>
        <w:ind w:start="5040" w:end="0"/>
        <w:rPr>
          <w:sz w:val="22"/>
        </w:rPr>
      </w:pPr>
      <w:r>
        <w:rPr>
          <w:sz w:val="22"/>
        </w:rPr>
        <w:t>____________________________________</w:t>
      </w:r>
    </w:p>
    <w:p>
      <w:pPr>
        <w:pStyle w:val="Heading1"/>
        <w:ind w:hanging="0" w:start="0"/>
        <w:rPr>
          <w:rFonts w:ascii="Times New Roman" w:hAnsi="Times New Roman" w:cs="Times New Roman"/>
          <w:sz w:val="22"/>
        </w:rPr>
      </w:pPr>
      <w:r>
        <w:rPr>
          <w:rFonts w:cs="Times New Roman" w:ascii="Times New Roman" w:hAnsi="Times New Roman"/>
          <w:sz w:val="22"/>
        </w:rPr>
        <w:tab/>
        <w:tab/>
        <w:tab/>
        <w:tab/>
        <w:tab/>
        <w:tab/>
        <w:tab/>
        <w:tab/>
        <w:tab/>
        <w:tab/>
      </w:r>
      <w:r>
        <w:rPr>
          <w:rFonts w:cs="Times New Roman" w:ascii="Times New Roman" w:hAnsi="Times New Roman"/>
          <w:b w:val="false"/>
          <w:sz w:val="22"/>
        </w:rPr>
        <w:t>Carl Wood, Commissioner</w:t>
      </w:r>
      <w:r>
        <w:br w:type="page"/>
      </w:r>
    </w:p>
    <w:p>
      <w:pPr>
        <w:pStyle w:val="Heading1"/>
        <w:ind w:hanging="0" w:start="0"/>
        <w:rPr>
          <w:rFonts w:ascii="Times New Roman" w:hAnsi="Times New Roman" w:cs="Times New Roman"/>
          <w:b w:val="false"/>
          <w:sz w:val="24"/>
        </w:rPr>
      </w:pPr>
      <w:r>
        <w:rPr>
          <w:rFonts w:cs="Times New Roman" w:ascii="Times New Roman" w:hAnsi="Times New Roman"/>
          <w:sz w:val="24"/>
        </w:rPr>
        <w:t>Attachment A to Subpoena</w:t>
      </w:r>
    </w:p>
    <w:p>
      <w:pPr>
        <w:pStyle w:val="Normal"/>
        <w:rPr>
          <w:rFonts w:ascii="Times New Roman" w:hAnsi="Times New Roman" w:cs="Times New Roman"/>
          <w:b/>
          <w:sz w:val="24"/>
        </w:rPr>
      </w:pPr>
      <w:r>
        <w:rPr>
          <w:rFonts w:cs="Times New Roman"/>
          <w:b/>
          <w:sz w:val="24"/>
        </w:rPr>
      </w:r>
    </w:p>
    <w:p>
      <w:pPr>
        <w:pStyle w:val="DoubleSpacing"/>
        <w:numPr>
          <w:ilvl w:val="0"/>
          <w:numId w:val="0"/>
        </w:numPr>
        <w:ind w:firstLine="720" w:start="0" w:end="0"/>
        <w:jc w:val="center"/>
        <w:rPr>
          <w:rFonts w:ascii="Times New Roman" w:hAnsi="Times New Roman" w:cs="Times New Roman"/>
          <w:b/>
        </w:rPr>
      </w:pPr>
      <w:r>
        <w:rPr>
          <w:rFonts w:cs="Times New Roman" w:ascii="Times New Roman" w:hAnsi="Times New Roman"/>
          <w:b/>
        </w:rPr>
        <w:t>INSTRUCTIONS AND DEFINITIONS</w:t>
      </w:r>
    </w:p>
    <w:p>
      <w:pPr>
        <w:pStyle w:val="DoubleSpacing"/>
        <w:ind w:firstLine="720" w:end="0"/>
        <w:rPr>
          <w:rFonts w:ascii="Times New Roman" w:hAnsi="Times New Roman" w:cs="Times New Roman"/>
        </w:rPr>
      </w:pPr>
      <w:r>
        <w:rPr>
          <w:rFonts w:cs="Times New Roman" w:ascii="Times New Roman" w:hAnsi="Times New Roman"/>
        </w:rPr>
        <w:t>The following instructions and definitions apply to each Request for Production of Documents ("Request") herein, and each Request is to be responded to as if these instructions and definitions were set forth in full with regard to it.</w:t>
      </w:r>
    </w:p>
    <w:p>
      <w:pPr>
        <w:pStyle w:val="DoubleSpacing"/>
        <w:ind w:firstLine="720" w:end="0"/>
        <w:rPr>
          <w:rFonts w:ascii="Times New Roman" w:hAnsi="Times New Roman" w:cs="Times New Roman"/>
        </w:rPr>
      </w:pPr>
      <w:r>
        <w:rPr>
          <w:rFonts w:cs="Times New Roman" w:ascii="Times New Roman" w:hAnsi="Times New Roman"/>
        </w:rPr>
        <w:t>Each Request calls for all documents responsive to that Request that are in your possession, custody or control, including documents in the possession of your attorneys, investigators, representatives or others acting on your behalf or under your direction or control.  You must make a diligent search of your records and of other papers and any materials in your possession or available to you or to persons subject to your influence and control.</w:t>
      </w:r>
    </w:p>
    <w:p>
      <w:pPr>
        <w:pStyle w:val="DoubleSpacing"/>
        <w:ind w:firstLine="720" w:end="0"/>
        <w:rPr>
          <w:rFonts w:ascii="Times New Roman" w:hAnsi="Times New Roman" w:cs="Times New Roman"/>
        </w:rPr>
      </w:pPr>
      <w:r>
        <w:rPr>
          <w:rFonts w:cs="Times New Roman" w:ascii="Times New Roman" w:hAnsi="Times New Roman"/>
        </w:rPr>
        <w:t>If you claim privilege as to any documents, state the nature of the privilege, all facts that support the claim of privilege, the person claiming the privilege and a full and complete description of the document, including its title, date, author, nature, the job titles of the document's author(s), recipients(s), and persons copied (e.g., "cc" or "bcc"), form (e.g., letter, memorandum, etc.), subject matter and the name and address of the present custodian of the original or any copies of the document known to you.</w:t>
      </w:r>
    </w:p>
    <w:p>
      <w:pPr>
        <w:pStyle w:val="DoubleSpacing"/>
        <w:ind w:firstLine="720" w:end="0"/>
        <w:rPr>
          <w:rFonts w:ascii="Times New Roman" w:hAnsi="Times New Roman" w:cs="Times New Roman"/>
        </w:rPr>
      </w:pPr>
      <w:r>
        <w:rPr>
          <w:rFonts w:cs="Times New Roman" w:ascii="Times New Roman" w:hAnsi="Times New Roman"/>
        </w:rPr>
        <w:t>The singular number and masculine gender as used herein also mean the plural, feminine or neuter, as is necessary to give the broadest possible scope to each Request.</w:t>
      </w:r>
    </w:p>
    <w:p>
      <w:pPr>
        <w:pStyle w:val="DoubleSpacing"/>
        <w:ind w:firstLine="720" w:end="0"/>
        <w:rPr>
          <w:rFonts w:ascii="Times New Roman" w:hAnsi="Times New Roman" w:cs="Times New Roman"/>
        </w:rPr>
      </w:pPr>
      <w:r>
        <w:rPr>
          <w:rFonts w:cs="Times New Roman" w:ascii="Times New Roman" w:hAnsi="Times New Roman"/>
        </w:rPr>
        <w:t xml:space="preserve">The following definitions apply to each Request for Production of Documents ("Request") herein, and each Request is to be responded to as if these definitions were set forth in full with regard to it: </w:t>
      </w:r>
    </w:p>
    <w:p>
      <w:pPr>
        <w:pStyle w:val="DoubleSpacing"/>
        <w:numPr>
          <w:ilvl w:val="0"/>
          <w:numId w:val="3"/>
        </w:numPr>
        <w:rPr>
          <w:rFonts w:ascii="Times New Roman" w:hAnsi="Times New Roman" w:cs="Times New Roman"/>
        </w:rPr>
      </w:pPr>
      <w:r>
        <w:rPr>
          <w:rFonts w:cs="Times New Roman" w:ascii="Times New Roman" w:hAnsi="Times New Roman"/>
          <w:b/>
        </w:rPr>
        <w:t xml:space="preserve">"DOCUMENT" </w:t>
      </w:r>
      <w:r>
        <w:rPr>
          <w:rFonts w:cs="Times New Roman" w:ascii="Times New Roman" w:hAnsi="Times New Roman"/>
        </w:rPr>
        <w:t>means any written, printed, typed, recorded, magnetic, punched, copied, graphic or other tangible thing in, upon, or from which information may be conveyed, embodied, translated, or stored, including, but not limited to, papers, records, books, telegrams, telexes, dictation or other audio tapes, video tapes, computer tapes, computer disks, computer printouts, microfilm, microfiche, laser disks, diaries, calendars, photographs, charts, viewgraphs, drawings, sketches and all other writings or drafts thereof, as well as any other writings as defined in California Evidence Code Section 250.  This definition expressly includes, without limitation, all originals, drafts, non-conforming copies, reproductions, facsimiles of written, typed or printed material of any kind, books, letters, contracts, minutes of meetings, memoranda, notes on desk calendars and appointment books, canceled checks, invoices, correspondence, telegrams, telex messages, intra-office communications, electronic mail messages, photographs and films, art work and information stored on tape, computer disk or any other type of data storage device.  If copies of a document are not identical by reason of hand notations, initials, identification marks or any other modification, each such non-identical copy is a separate document within the meaning of this definition.</w:t>
      </w:r>
    </w:p>
    <w:p>
      <w:pPr>
        <w:pStyle w:val="DoubleSpacing"/>
        <w:numPr>
          <w:ilvl w:val="0"/>
          <w:numId w:val="3"/>
        </w:numPr>
        <w:rPr>
          <w:rFonts w:ascii="Times New Roman" w:hAnsi="Times New Roman" w:cs="Times New Roman"/>
        </w:rPr>
      </w:pPr>
      <w:r>
        <w:rPr>
          <w:rFonts w:cs="Times New Roman" w:ascii="Times New Roman" w:hAnsi="Times New Roman"/>
          <w:b/>
        </w:rPr>
        <w:t xml:space="preserve">"PERSON" </w:t>
      </w:r>
      <w:r>
        <w:rPr>
          <w:rFonts w:cs="Times New Roman" w:ascii="Times New Roman" w:hAnsi="Times New Roman"/>
        </w:rPr>
        <w:t>means any natural person and any other cognizable entity, including without limitation, corporations, proprietorships, partnership, joint ventures, consortiums, clubs, associations, foundations, governmental agencies or instrumentalities, societies and orders.  As used in the document requests, the acts and knowledge of a "person" are defined to include the acts and knowledge of that person's directors, officers, members, employees, licensees, representatives, agents and attorneys.</w:t>
      </w:r>
    </w:p>
    <w:p>
      <w:pPr>
        <w:pStyle w:val="DoubleSpacing"/>
        <w:numPr>
          <w:ilvl w:val="0"/>
          <w:numId w:val="3"/>
        </w:numPr>
        <w:rPr>
          <w:rFonts w:ascii="Times New Roman" w:hAnsi="Times New Roman" w:cs="Times New Roman"/>
        </w:rPr>
      </w:pPr>
      <w:r>
        <w:rPr>
          <w:rFonts w:cs="Times New Roman" w:ascii="Times New Roman" w:hAnsi="Times New Roman"/>
          <w:b/>
        </w:rPr>
        <w:t>“</w:t>
      </w:r>
      <w:r>
        <w:rPr>
          <w:rFonts w:cs="Times New Roman" w:ascii="Times New Roman" w:hAnsi="Times New Roman"/>
          <w:b/>
        </w:rPr>
        <w:t xml:space="preserve">RESPONDENT” </w:t>
      </w:r>
      <w:r>
        <w:rPr>
          <w:rFonts w:cs="Times New Roman" w:ascii="Times New Roman" w:hAnsi="Times New Roman"/>
        </w:rPr>
        <w:t>refers to the responding party(ies), their predecessor(s) and successor(s) in interest, their agents, employees, servants, officers, representatives, counsel, consultants, parents, subsidiaries or affiliates and anyone else acting on their behalf or at their request.</w:t>
      </w:r>
    </w:p>
    <w:p>
      <w:pPr>
        <w:pStyle w:val="DoubleSpacing"/>
        <w:numPr>
          <w:ilvl w:val="0"/>
          <w:numId w:val="3"/>
        </w:numPr>
        <w:rPr>
          <w:rFonts w:ascii="Times New Roman" w:hAnsi="Times New Roman" w:cs="Times New Roman"/>
        </w:rPr>
      </w:pPr>
      <w:r>
        <w:rPr>
          <w:rFonts w:cs="Times New Roman" w:ascii="Times New Roman" w:hAnsi="Times New Roman"/>
          <w:b/>
        </w:rPr>
        <w:t xml:space="preserve">"RELATE" </w:t>
      </w:r>
      <w:r>
        <w:rPr>
          <w:rFonts w:cs="Times New Roman" w:ascii="Times New Roman" w:hAnsi="Times New Roman"/>
        </w:rPr>
        <w:t xml:space="preserve">and </w:t>
      </w:r>
      <w:r>
        <w:rPr>
          <w:rFonts w:cs="Times New Roman" w:ascii="Times New Roman" w:hAnsi="Times New Roman"/>
          <w:b/>
        </w:rPr>
        <w:t>"RELATING TO"</w:t>
      </w:r>
      <w:r>
        <w:rPr>
          <w:rFonts w:cs="Times New Roman" w:ascii="Times New Roman" w:hAnsi="Times New Roman"/>
        </w:rPr>
        <w:t xml:space="preserve"> mean consisting of, summarizing, identifying, explaining, reflecting, describing, discussing, pertaining to, containing, mentioning, concerning, illustrating, referring to, alluding to, responding to, commenting on, in respect of, about, regarding, discussing, involving, analyzing, constituting or referring to in any way.</w:t>
      </w:r>
    </w:p>
    <w:p>
      <w:pPr>
        <w:pStyle w:val="DoubleSpacing"/>
        <w:numPr>
          <w:ilvl w:val="0"/>
          <w:numId w:val="3"/>
        </w:numPr>
        <w:rPr>
          <w:rFonts w:ascii="Times New Roman" w:hAnsi="Times New Roman" w:cs="Times New Roman"/>
        </w:rPr>
      </w:pPr>
      <w:r>
        <w:rPr>
          <w:rFonts w:cs="Times New Roman" w:ascii="Times New Roman" w:hAnsi="Times New Roman"/>
        </w:rPr>
        <w:t>As used in these documents requests, the singular shall include the plural and the plural shall include the singular whenever necessary to infer the broadest possible meaning to a particular request.</w:t>
      </w:r>
    </w:p>
    <w:p>
      <w:pPr>
        <w:pStyle w:val="DoubleSpacing"/>
        <w:numPr>
          <w:ilvl w:val="0"/>
          <w:numId w:val="3"/>
        </w:numPr>
        <w:rPr>
          <w:rFonts w:ascii="Times New Roman" w:hAnsi="Times New Roman" w:cs="Times New Roman"/>
        </w:rPr>
      </w:pPr>
      <w:r>
        <w:rPr>
          <w:rFonts w:cs="Times New Roman" w:ascii="Times New Roman" w:hAnsi="Times New Roman"/>
          <w:b/>
        </w:rPr>
        <w:t xml:space="preserve">"ANY" </w:t>
      </w:r>
      <w:r>
        <w:rPr>
          <w:rFonts w:cs="Times New Roman" w:ascii="Times New Roman" w:hAnsi="Times New Roman"/>
        </w:rPr>
        <w:t>includes and encompasses "all" and "all" includes and encompasses "any".  "Or" includes and encompasses "and" and "and" includes or encompasses "or."  Each of these terms shall be interpreted to give the broadest possible scope to each Request.</w:t>
      </w:r>
    </w:p>
    <w:p>
      <w:pPr>
        <w:pStyle w:val="DoubleSpacing"/>
        <w:rPr>
          <w:rFonts w:ascii="Times New Roman" w:hAnsi="Times New Roman" w:cs="Times New Roman"/>
        </w:rPr>
      </w:pPr>
      <w:r>
        <w:rPr>
          <w:rFonts w:cs="Times New Roman" w:ascii="Times New Roman" w:hAnsi="Times New Roman"/>
        </w:rPr>
      </w:r>
    </w:p>
    <w:p>
      <w:pPr>
        <w:pStyle w:val="Heading4"/>
        <w:ind w:hanging="0" w:start="0"/>
        <w:rPr>
          <w:sz w:val="24"/>
          <w:lang w:eastAsia="en-US"/>
        </w:rPr>
      </w:pPr>
      <w:r>
        <w:rPr>
          <w:sz w:val="24"/>
        </w:rPr>
        <w:t>REQUESTS FOR PRODUCTION OF DOCUMENTS</w:t>
      </w:r>
    </w:p>
    <w:p>
      <w:pPr>
        <w:pStyle w:val="BodyText"/>
        <w:rPr>
          <w:sz w:val="24"/>
          <w:lang w:eastAsia="en-US"/>
        </w:rPr>
      </w:pPr>
      <w:r>
        <w:rPr>
          <w:sz w:val="24"/>
          <w:lang w:eastAsia="en-US"/>
        </w:rPr>
      </w:r>
    </w:p>
    <w:p>
      <w:pPr>
        <w:pStyle w:val="BodyText"/>
        <w:rPr>
          <w:sz w:val="24"/>
        </w:rPr>
      </w:pPr>
      <w:r>
        <w:rPr>
          <w:sz w:val="24"/>
        </w:rPr>
        <w:t>For the period January 1, 2000 through August 31, 2000 provide the following information relating to out-of-market and out-of-sequence calls:</w:t>
      </w:r>
    </w:p>
    <w:p>
      <w:pPr>
        <w:pStyle w:val="BodyText"/>
        <w:rPr>
          <w:sz w:val="24"/>
        </w:rPr>
      </w:pPr>
      <w:r>
        <w:rPr>
          <w:sz w:val="24"/>
        </w:rPr>
      </w:r>
    </w:p>
    <w:p>
      <w:pPr>
        <w:pStyle w:val="BodyText"/>
        <w:numPr>
          <w:ilvl w:val="0"/>
          <w:numId w:val="4"/>
        </w:numPr>
        <w:spacing w:before="0" w:after="120"/>
        <w:rPr>
          <w:sz w:val="24"/>
        </w:rPr>
      </w:pPr>
      <w:r>
        <w:rPr>
          <w:sz w:val="24"/>
        </w:rPr>
        <w:t>All documents, including but limited to ISO operator log entries, related to or detailing each out-of-market and out-of-sequence call.</w:t>
      </w:r>
    </w:p>
    <w:p>
      <w:pPr>
        <w:pStyle w:val="BodyText"/>
        <w:numPr>
          <w:ilvl w:val="0"/>
          <w:numId w:val="4"/>
        </w:numPr>
        <w:spacing w:before="0" w:after="120"/>
        <w:rPr>
          <w:sz w:val="24"/>
        </w:rPr>
      </w:pPr>
      <w:r>
        <w:rPr>
          <w:sz w:val="24"/>
        </w:rPr>
        <w:t>All documents, including but limited to ISO operator log entries, related to or detailing the operators on duty and their work schedule at the time the out-of-market and out-of-sequence calls were made.</w:t>
      </w:r>
    </w:p>
    <w:p>
      <w:pPr>
        <w:pStyle w:val="BodyText"/>
        <w:numPr>
          <w:ilvl w:val="0"/>
          <w:numId w:val="4"/>
        </w:numPr>
        <w:spacing w:before="0" w:after="120"/>
        <w:rPr>
          <w:sz w:val="24"/>
        </w:rPr>
      </w:pPr>
      <w:r>
        <w:rPr>
          <w:sz w:val="24"/>
        </w:rPr>
        <w:t>All documents, including but limited to ISO operator log entries, related to or detailing the payment amounts made or cost assessed for each out-of-market and out-of-sequence call.  If the ISO operator entries do not include payment information, then please provide the payment information from the settlement data information.</w:t>
      </w:r>
    </w:p>
    <w:p>
      <w:pPr>
        <w:pStyle w:val="BodyText"/>
        <w:numPr>
          <w:ilvl w:val="0"/>
          <w:numId w:val="4"/>
        </w:numPr>
        <w:spacing w:before="0" w:after="120"/>
        <w:rPr>
          <w:sz w:val="24"/>
        </w:rPr>
      </w:pPr>
      <w:r>
        <w:rPr>
          <w:sz w:val="24"/>
        </w:rPr>
        <w:t xml:space="preserve">All documents related to the methodology employed by ISO staff to determine the appropriate payment amount for out-of-market and out-of-sequence calls.  For example, was the payment amount determined through real-time negotiations between the ISO operator and the supply source or through an administrative procedure as established in the ISO settlement process? </w:t>
      </w:r>
    </w:p>
    <w:p>
      <w:pPr>
        <w:pStyle w:val="BodyText"/>
        <w:numPr>
          <w:ilvl w:val="0"/>
          <w:numId w:val="4"/>
        </w:numPr>
        <w:spacing w:before="0" w:after="120"/>
        <w:rPr>
          <w:sz w:val="24"/>
        </w:rPr>
      </w:pPr>
      <w:r>
        <w:rPr>
          <w:sz w:val="24"/>
        </w:rPr>
        <w:t>ISO protocols, formal and informal, for making out-of-market and out-of-sequence calls, and all documents related thereto.</w:t>
      </w:r>
    </w:p>
    <w:p>
      <w:pPr>
        <w:pStyle w:val="BodyText"/>
        <w:numPr>
          <w:ilvl w:val="0"/>
          <w:numId w:val="4"/>
        </w:numPr>
        <w:spacing w:before="0" w:after="120"/>
        <w:rPr>
          <w:sz w:val="24"/>
        </w:rPr>
      </w:pPr>
      <w:r>
        <w:rPr>
          <w:sz w:val="24"/>
        </w:rPr>
        <w:t>ISO operator judgement on market participant behavior that may have jeopardized system reliability through the withholding of generation capacity until an out-of-market call was made for the capacity, and all documents related thereto.</w:t>
      </w:r>
    </w:p>
    <w:p>
      <w:pPr>
        <w:pStyle w:val="BodyText"/>
        <w:numPr>
          <w:ilvl w:val="0"/>
          <w:numId w:val="4"/>
        </w:numPr>
        <w:spacing w:before="0" w:after="120"/>
        <w:rPr>
          <w:sz w:val="24"/>
        </w:rPr>
      </w:pPr>
      <w:r>
        <w:rPr>
          <w:sz w:val="24"/>
        </w:rPr>
        <w:t>The identity of the supplier that may have jeopardized system reliability because of the withholding of generator capacity to benefit from an out-of-market call, and all documents related thereto.</w:t>
      </w:r>
    </w:p>
    <w:p>
      <w:pPr>
        <w:pStyle w:val="BodyText"/>
        <w:numPr>
          <w:ilvl w:val="0"/>
          <w:numId w:val="4"/>
        </w:numPr>
        <w:spacing w:before="0" w:after="120"/>
        <w:rPr>
          <w:sz w:val="24"/>
        </w:rPr>
      </w:pPr>
      <w:r>
        <w:rPr>
          <w:sz w:val="24"/>
        </w:rPr>
        <w:t>ISO operator knowledge of “ricochet scheduling,” which involves a forward export matched by an out-of-market import, and all documents related thereto.</w:t>
      </w:r>
    </w:p>
    <w:p>
      <w:pPr>
        <w:pStyle w:val="BodyText"/>
        <w:numPr>
          <w:ilvl w:val="0"/>
          <w:numId w:val="4"/>
        </w:numPr>
        <w:spacing w:before="0" w:after="120"/>
        <w:rPr>
          <w:sz w:val="24"/>
        </w:rPr>
      </w:pPr>
      <w:r>
        <w:rPr>
          <w:sz w:val="24"/>
        </w:rPr>
        <w:t>The identities  (scheduling coordinators, generator, and load) which received payment for each of the out-of-market and out-of-sequence calls in the ISO operator log entries, and all documents related thereto.</w:t>
      </w:r>
    </w:p>
    <w:p>
      <w:pPr>
        <w:pStyle w:val="BodyText"/>
        <w:numPr>
          <w:ilvl w:val="0"/>
          <w:numId w:val="4"/>
        </w:numPr>
        <w:spacing w:before="0" w:after="120"/>
        <w:rPr>
          <w:sz w:val="24"/>
        </w:rPr>
      </w:pPr>
      <w:r>
        <w:rPr>
          <w:sz w:val="24"/>
        </w:rPr>
        <w:t xml:space="preserve">Provide all documents, including but not limited to work-papers and any electronic spreadsheet analyses, that were used to prepare, or are related to, the CAISO report to the Electricity Oversight Board.   This report was entitled:  </w:t>
      </w:r>
      <w:r>
        <w:rPr>
          <w:color w:val="000000"/>
          <w:sz w:val="24"/>
          <w:lang w:eastAsia="en-US"/>
        </w:rPr>
        <w:t xml:space="preserve">Review of Market Performance  for May - August 2000  by </w:t>
      </w:r>
      <w:r>
        <w:rPr>
          <w:i/>
          <w:color w:val="000000"/>
          <w:sz w:val="24"/>
          <w:lang w:eastAsia="en-US"/>
        </w:rPr>
        <w:t>Anjali Sheffrin, Ph. D</w:t>
      </w:r>
      <w:r>
        <w:rPr>
          <w:b/>
          <w:i/>
          <w:color w:val="000000"/>
          <w:sz w:val="24"/>
          <w:lang w:eastAsia="en-US"/>
        </w:rPr>
        <w:t xml:space="preserve">. </w:t>
      </w:r>
      <w:r>
        <w:rPr>
          <w:i/>
          <w:color w:val="000000"/>
          <w:sz w:val="24"/>
          <w:lang w:eastAsia="en-US"/>
        </w:rPr>
        <w:t>Director, Market Analysis, CA ISO.  August 31, 2000</w:t>
      </w:r>
      <w:r>
        <w:rPr>
          <w:color w:val="000000"/>
          <w:sz w:val="24"/>
          <w:lang w:eastAsia="en-US"/>
        </w:rPr>
        <w:t>.</w:t>
      </w:r>
    </w:p>
    <w:p>
      <w:pPr>
        <w:pStyle w:val="BodyText"/>
        <w:numPr>
          <w:ilvl w:val="0"/>
          <w:numId w:val="4"/>
        </w:numPr>
        <w:spacing w:before="0" w:after="120"/>
        <w:rPr>
          <w:sz w:val="24"/>
        </w:rPr>
      </w:pPr>
      <w:r>
        <w:rPr>
          <w:sz w:val="24"/>
        </w:rPr>
        <w:t>Provide all documents, including but not limited to internal reports and memoranda, prepared by the Market Analysis Department for ISO officers, management and/or Governing Board from February 2000 through the current date.</w:t>
      </w:r>
    </w:p>
    <w:p>
      <w:pPr>
        <w:pStyle w:val="BodyText"/>
        <w:numPr>
          <w:ilvl w:val="0"/>
          <w:numId w:val="4"/>
        </w:numPr>
        <w:spacing w:before="0" w:after="120"/>
        <w:rPr>
          <w:sz w:val="24"/>
        </w:rPr>
      </w:pPr>
      <w:r>
        <w:rPr>
          <w:sz w:val="24"/>
        </w:rPr>
        <w:t>Provide all documents, including but not limited to analyses, memorandums or reports, prepared by the Market Analysis Department or any other staff entity for the Market Surveillance Committee from February 2000 through the current date.</w:t>
      </w:r>
    </w:p>
    <w:p>
      <w:pPr>
        <w:pStyle w:val="BodyText"/>
        <w:numPr>
          <w:ilvl w:val="0"/>
          <w:numId w:val="4"/>
        </w:numPr>
        <w:spacing w:before="0" w:after="120"/>
        <w:rPr>
          <w:sz w:val="24"/>
        </w:rPr>
      </w:pPr>
      <w:r>
        <w:rPr>
          <w:sz w:val="24"/>
        </w:rPr>
        <w:t>For items 13(a)-(m), the specified information is requested for the following trade dates: April 1, 1998 through the current date.</w:t>
      </w:r>
    </w:p>
    <w:p>
      <w:pPr>
        <w:pStyle w:val="BodyText"/>
        <w:numPr>
          <w:ilvl w:val="0"/>
          <w:numId w:val="2"/>
        </w:numPr>
        <w:spacing w:before="0" w:after="120"/>
        <w:rPr>
          <w:sz w:val="24"/>
        </w:rPr>
      </w:pPr>
      <w:r>
        <w:rPr>
          <w:sz w:val="24"/>
        </w:rPr>
        <w:t>Day Ahead Schedules by unit and take out point including Ancillary Services.</w:t>
      </w:r>
    </w:p>
    <w:p>
      <w:pPr>
        <w:pStyle w:val="BodyText"/>
        <w:numPr>
          <w:ilvl w:val="0"/>
          <w:numId w:val="2"/>
        </w:numPr>
        <w:spacing w:before="0" w:after="120"/>
        <w:rPr>
          <w:sz w:val="24"/>
        </w:rPr>
      </w:pPr>
      <w:r>
        <w:rPr>
          <w:sz w:val="24"/>
        </w:rPr>
        <w:t>Hour Ahead Schedules by unit and take out point including Ancillary Services.</w:t>
      </w:r>
    </w:p>
    <w:p>
      <w:pPr>
        <w:pStyle w:val="BodyText"/>
        <w:numPr>
          <w:ilvl w:val="0"/>
          <w:numId w:val="2"/>
        </w:numPr>
        <w:spacing w:before="0" w:after="120"/>
        <w:rPr>
          <w:sz w:val="24"/>
        </w:rPr>
      </w:pPr>
      <w:r>
        <w:rPr>
          <w:sz w:val="24"/>
        </w:rPr>
        <w:t>Ancillary Services bid adequacy data.</w:t>
      </w:r>
    </w:p>
    <w:p>
      <w:pPr>
        <w:pStyle w:val="BodyText"/>
        <w:numPr>
          <w:ilvl w:val="0"/>
          <w:numId w:val="2"/>
        </w:numPr>
        <w:spacing w:before="0" w:after="120"/>
        <w:rPr>
          <w:sz w:val="24"/>
        </w:rPr>
      </w:pPr>
      <w:r>
        <w:rPr>
          <w:sz w:val="24"/>
        </w:rPr>
        <w:t>Bids into the BEEP stack.</w:t>
      </w:r>
    </w:p>
    <w:p>
      <w:pPr>
        <w:pStyle w:val="BodyText"/>
        <w:numPr>
          <w:ilvl w:val="0"/>
          <w:numId w:val="2"/>
        </w:numPr>
        <w:spacing w:before="0" w:after="120"/>
        <w:rPr>
          <w:sz w:val="24"/>
        </w:rPr>
      </w:pPr>
      <w:r>
        <w:rPr>
          <w:sz w:val="24"/>
        </w:rPr>
        <w:t>Actual operation by unit, divided between instructed and uninstructed generation.</w:t>
      </w:r>
    </w:p>
    <w:p>
      <w:pPr>
        <w:pStyle w:val="BodyText"/>
        <w:numPr>
          <w:ilvl w:val="0"/>
          <w:numId w:val="2"/>
        </w:numPr>
        <w:spacing w:before="0" w:after="120"/>
        <w:rPr>
          <w:sz w:val="24"/>
        </w:rPr>
      </w:pPr>
      <w:r>
        <w:rPr>
          <w:sz w:val="24"/>
        </w:rPr>
        <w:t>All out of market or out of sequence calls made by the CAISO during these periods.</w:t>
      </w:r>
    </w:p>
    <w:p>
      <w:pPr>
        <w:pStyle w:val="BodyText"/>
        <w:numPr>
          <w:ilvl w:val="0"/>
          <w:numId w:val="2"/>
        </w:numPr>
        <w:spacing w:before="0" w:after="120"/>
        <w:rPr>
          <w:sz w:val="24"/>
        </w:rPr>
      </w:pPr>
      <w:r>
        <w:rPr>
          <w:sz w:val="24"/>
        </w:rPr>
        <w:t>All documents related to settlement of out of market or out of sequence calls.</w:t>
      </w:r>
    </w:p>
    <w:p>
      <w:pPr>
        <w:pStyle w:val="BodyText"/>
        <w:numPr>
          <w:ilvl w:val="0"/>
          <w:numId w:val="2"/>
        </w:numPr>
        <w:spacing w:before="0" w:after="120"/>
        <w:rPr>
          <w:sz w:val="24"/>
        </w:rPr>
      </w:pPr>
      <w:r>
        <w:rPr>
          <w:sz w:val="24"/>
        </w:rPr>
        <w:t>RMR calls by hour and by unit and, beginning in June 2000, by the election chosen by owner either to take the contract path or market path.  Provide data indicating whether the unit was already in the market at the commencement of the RMR call, or whether the CAISO had to call the unit in real time for operation (even if such a call was made the previous day).</w:t>
      </w:r>
    </w:p>
    <w:p>
      <w:pPr>
        <w:pStyle w:val="BodyText"/>
        <w:numPr>
          <w:ilvl w:val="0"/>
          <w:numId w:val="2"/>
        </w:numPr>
        <w:spacing w:before="0" w:after="120"/>
        <w:rPr>
          <w:sz w:val="24"/>
        </w:rPr>
      </w:pPr>
      <w:r>
        <w:rPr>
          <w:sz w:val="24"/>
        </w:rPr>
        <w:t>A list of all units, transmission lines, transformers and other system elements out on maintenance or forced out of service.</w:t>
      </w:r>
    </w:p>
    <w:p>
      <w:pPr>
        <w:pStyle w:val="BodyText"/>
        <w:numPr>
          <w:ilvl w:val="0"/>
          <w:numId w:val="2"/>
        </w:numPr>
        <w:spacing w:before="0" w:after="120"/>
        <w:rPr>
          <w:sz w:val="24"/>
        </w:rPr>
      </w:pPr>
      <w:r>
        <w:rPr>
          <w:sz w:val="24"/>
        </w:rPr>
        <w:t>Copies of the CAISO’s “Morning Report.”</w:t>
      </w:r>
    </w:p>
    <w:p>
      <w:pPr>
        <w:pStyle w:val="BodyText"/>
        <w:numPr>
          <w:ilvl w:val="0"/>
          <w:numId w:val="2"/>
        </w:numPr>
        <w:spacing w:before="0" w:after="120"/>
        <w:rPr>
          <w:sz w:val="24"/>
        </w:rPr>
      </w:pPr>
      <w:r>
        <w:rPr>
          <w:sz w:val="24"/>
        </w:rPr>
        <w:t>Stage 1 and Stage 2 Emergency Notices during this period. Focusing on system conditions, causal factors, and data depicting actual Operating Reserves during each such event on a ten-minute interval.</w:t>
      </w:r>
    </w:p>
    <w:p>
      <w:pPr>
        <w:pStyle w:val="BodyText"/>
        <w:numPr>
          <w:ilvl w:val="0"/>
          <w:numId w:val="2"/>
        </w:numPr>
        <w:spacing w:before="0" w:after="120"/>
        <w:rPr>
          <w:sz w:val="24"/>
        </w:rPr>
      </w:pPr>
      <w:r>
        <w:rPr>
          <w:sz w:val="24"/>
        </w:rPr>
        <w:t>All export schedules.</w:t>
      </w:r>
    </w:p>
    <w:p>
      <w:pPr>
        <w:pStyle w:val="BodyText"/>
        <w:numPr>
          <w:ilvl w:val="0"/>
          <w:numId w:val="2"/>
        </w:numPr>
        <w:spacing w:before="0" w:after="120"/>
        <w:rPr>
          <w:sz w:val="24"/>
        </w:rPr>
      </w:pPr>
      <w:r>
        <w:rPr>
          <w:sz w:val="24"/>
        </w:rPr>
        <w:t>All import schedules.</w:t>
      </w:r>
    </w:p>
    <w:p>
      <w:pPr>
        <w:pStyle w:val="BodyText"/>
        <w:numPr>
          <w:ilvl w:val="0"/>
          <w:numId w:val="4"/>
        </w:numPr>
        <w:spacing w:before="0" w:after="120"/>
        <w:rPr>
          <w:sz w:val="24"/>
        </w:rPr>
      </w:pPr>
      <w:r>
        <w:rPr>
          <w:sz w:val="24"/>
        </w:rPr>
        <w:t>All documents relating to decisions whether to call, and implementation of, Stage I and/or Stage 2 Emergencies during the week of September 18-22, 2000.</w:t>
      </w:r>
    </w:p>
    <w:p>
      <w:pPr>
        <w:pStyle w:val="BodyText"/>
        <w:numPr>
          <w:ilvl w:val="0"/>
          <w:numId w:val="4"/>
        </w:numPr>
        <w:spacing w:before="0" w:after="120"/>
        <w:rPr>
          <w:sz w:val="24"/>
        </w:rPr>
      </w:pPr>
      <w:r>
        <w:rPr>
          <w:sz w:val="24"/>
        </w:rPr>
        <w:t>All documents relating to the phenomenon described by the ISO DMA as the “DEC game.”</w:t>
      </w:r>
    </w:p>
    <w:p>
      <w:pPr>
        <w:pStyle w:val="BodyText"/>
        <w:numPr>
          <w:ilvl w:val="0"/>
          <w:numId w:val="4"/>
        </w:numPr>
        <w:spacing w:before="0" w:after="120"/>
        <w:rPr>
          <w:sz w:val="24"/>
        </w:rPr>
      </w:pPr>
      <w:r>
        <w:rPr>
          <w:sz w:val="24"/>
        </w:rPr>
        <w:t xml:space="preserve">All documents relating to any investigation of anomalous or potentially anomalous market behavior, including but not limited to </w:t>
      </w:r>
      <w:r>
        <w:rPr>
          <w:sz w:val="26"/>
        </w:rPr>
        <w:t>bidding or scheduling behavior</w:t>
      </w:r>
      <w:r>
        <w:rPr>
          <w:sz w:val="24"/>
        </w:rPr>
        <w:t>.</w:t>
      </w:r>
    </w:p>
    <w:p>
      <w:pPr>
        <w:pStyle w:val="BodyText"/>
        <w:numPr>
          <w:ilvl w:val="0"/>
          <w:numId w:val="4"/>
        </w:numPr>
        <w:spacing w:before="0" w:after="120"/>
        <w:rPr>
          <w:sz w:val="24"/>
        </w:rPr>
      </w:pPr>
      <w:r>
        <w:rPr>
          <w:sz w:val="24"/>
        </w:rPr>
        <w:t>All documents relating to the ISO staff and/or management’s proposal to maintain the market separation rule in the context of Congestion Management Reform and/or Comprehensive Market Reform.</w:t>
      </w:r>
    </w:p>
    <w:p>
      <w:pPr>
        <w:pStyle w:val="BodyText"/>
        <w:numPr>
          <w:ilvl w:val="0"/>
          <w:numId w:val="4"/>
        </w:numPr>
        <w:spacing w:before="0" w:after="120"/>
        <w:rPr>
          <w:sz w:val="24"/>
        </w:rPr>
      </w:pPr>
      <w:r>
        <w:rPr>
          <w:sz w:val="24"/>
        </w:rPr>
        <w:t>All documents relating to the ISO staff and/or ISO consultant analyses regarding inter-scheduling coordinator trade adjustment bids.</w:t>
      </w:r>
    </w:p>
    <w:p>
      <w:pPr>
        <w:pStyle w:val="BodyText"/>
        <w:numPr>
          <w:ilvl w:val="0"/>
          <w:numId w:val="4"/>
        </w:numPr>
        <w:spacing w:before="0" w:after="120"/>
        <w:rPr>
          <w:sz w:val="24"/>
        </w:rPr>
      </w:pPr>
      <w:r>
        <w:rPr>
          <w:sz w:val="24"/>
        </w:rPr>
        <w:t>All documents relating to the ISO staff and/or ISO consultant analyses relating to portfolio bidding.</w:t>
      </w:r>
    </w:p>
    <w:p>
      <w:pPr>
        <w:pStyle w:val="BodyText"/>
        <w:numPr>
          <w:ilvl w:val="0"/>
          <w:numId w:val="4"/>
        </w:numPr>
        <w:spacing w:before="0" w:after="120"/>
        <w:rPr>
          <w:sz w:val="24"/>
        </w:rPr>
      </w:pPr>
      <w:r>
        <w:rPr>
          <w:sz w:val="24"/>
        </w:rPr>
        <w:t>All documents relating to the ISO staff and/or management’s proposal to maintain the separation between forward energy markets and forward congestion management markets.</w:t>
      </w:r>
    </w:p>
    <w:p>
      <w:pPr>
        <w:pStyle w:val="BodyText"/>
        <w:numPr>
          <w:ilvl w:val="0"/>
          <w:numId w:val="4"/>
        </w:numPr>
        <w:spacing w:before="0" w:after="120"/>
        <w:rPr>
          <w:sz w:val="24"/>
        </w:rPr>
      </w:pPr>
      <w:r>
        <w:rPr>
          <w:sz w:val="24"/>
        </w:rPr>
        <w:t>All documents relating to the ISO staff and/or management’s proposal to maintain zonal congestion pricing as opposed to locational marginal (nodal) pricing in the context of Congestion Management Reform and/or Comprehensive Market Reform.</w:t>
      </w:r>
    </w:p>
    <w:p>
      <w:pPr>
        <w:pStyle w:val="BodyText"/>
        <w:numPr>
          <w:ilvl w:val="0"/>
          <w:numId w:val="4"/>
        </w:numPr>
        <w:spacing w:before="0" w:after="120"/>
        <w:rPr>
          <w:sz w:val="24"/>
        </w:rPr>
      </w:pPr>
      <w:r>
        <w:rPr>
          <w:sz w:val="24"/>
        </w:rPr>
        <w:t>All documents relating to the ISO staff and/or ISO consultant analyses regarding the suitability of nodal prices to commit and/or dispatch generation units.</w:t>
      </w:r>
    </w:p>
    <w:p>
      <w:pPr>
        <w:pStyle w:val="BodyText"/>
        <w:numPr>
          <w:ilvl w:val="0"/>
          <w:numId w:val="4"/>
        </w:numPr>
        <w:spacing w:before="0" w:after="120"/>
        <w:rPr>
          <w:sz w:val="24"/>
        </w:rPr>
      </w:pPr>
      <w:r>
        <w:rPr>
          <w:sz w:val="24"/>
        </w:rPr>
        <w:t>All documents relating to the ISO staff and/or ISO consultant analyses regarding the suitability of aggregating nodal prices post dispatch to obtain pricing hubs or zones for commercial activity such as forward contracting and trading.</w:t>
      </w:r>
    </w:p>
    <w:p>
      <w:pPr>
        <w:pStyle w:val="BodyText"/>
        <w:numPr>
          <w:ilvl w:val="0"/>
          <w:numId w:val="4"/>
        </w:numPr>
        <w:spacing w:before="0" w:after="120"/>
        <w:rPr>
          <w:sz w:val="24"/>
        </w:rPr>
      </w:pPr>
      <w:r>
        <w:rPr>
          <w:sz w:val="24"/>
        </w:rPr>
        <w:t>All documents relating to the ISO staff and/or ISO consultant analyses regarding the appropriate delineation of zonal boundaries, including all shift factor analyses to establish the zonal boundaries proposed in the ISO staff Comprehensive Market Reform proposal.</w:t>
      </w:r>
    </w:p>
    <w:p>
      <w:pPr>
        <w:pStyle w:val="BodyText"/>
        <w:numPr>
          <w:ilvl w:val="0"/>
          <w:numId w:val="4"/>
        </w:numPr>
        <w:spacing w:before="0" w:after="120"/>
        <w:rPr>
          <w:sz w:val="24"/>
        </w:rPr>
      </w:pPr>
      <w:r>
        <w:rPr>
          <w:sz w:val="24"/>
        </w:rPr>
        <w:t>All documents relating to the ISO staff and/or ISO consultant analyses regarding the definition and pricing of Firm Transmission Rights (link based congestion property rights or point to point congestion property rights) within the context of a looped financial system.</w:t>
      </w:r>
    </w:p>
    <w:p>
      <w:pPr>
        <w:pStyle w:val="BodyText"/>
        <w:numPr>
          <w:ilvl w:val="0"/>
          <w:numId w:val="4"/>
        </w:numPr>
        <w:spacing w:before="0" w:after="120"/>
        <w:rPr>
          <w:sz w:val="24"/>
        </w:rPr>
      </w:pPr>
      <w:r>
        <w:rPr>
          <w:sz w:val="24"/>
        </w:rPr>
        <w:t xml:space="preserve">All documents related to the ISO’s participation in the </w:t>
      </w:r>
      <w:r>
        <w:rPr>
          <w:sz w:val="24"/>
          <w:lang w:eastAsia="en-US"/>
        </w:rPr>
        <w:t>"Seasonal Super Peak Day of Market" via the Automated Power Exchange (APX), including, but not limited to, documents setting forth quantity purchased by the ISO, prices for each quantity purchased, and total costs</w:t>
      </w:r>
      <w:r>
        <w:rPr>
          <w:sz w:val="24"/>
        </w:rPr>
        <w:t>.</w:t>
      </w:r>
    </w:p>
    <w:p>
      <w:pPr>
        <w:pStyle w:val="BodyText"/>
        <w:numPr>
          <w:ilvl w:val="0"/>
          <w:numId w:val="4"/>
        </w:numPr>
        <w:spacing w:before="0" w:after="120"/>
        <w:rPr>
          <w:sz w:val="24"/>
        </w:rPr>
      </w:pPr>
      <w:r>
        <w:rPr>
          <w:sz w:val="24"/>
        </w:rPr>
        <w:t>All documents related to any purchases of energy or capacity by the ISO in any market not operated by the ISO.</w:t>
      </w:r>
    </w:p>
    <w:p>
      <w:pPr>
        <w:pStyle w:val="BodyText"/>
        <w:numPr>
          <w:ilvl w:val="0"/>
          <w:numId w:val="4"/>
        </w:numPr>
        <w:spacing w:before="0" w:after="120"/>
        <w:rPr>
          <w:sz w:val="24"/>
        </w:rPr>
      </w:pPr>
      <w:r>
        <w:rPr>
          <w:sz w:val="24"/>
        </w:rPr>
        <w:t>Please provide all information produced to the Electricity Oversight Board, and which has not already been provide to the CPUC, in response to any subpoena received from the EOB.</w:t>
      </w:r>
    </w:p>
    <w:p>
      <w:pPr>
        <w:pStyle w:val="BodyText"/>
        <w:numPr>
          <w:ilvl w:val="0"/>
          <w:numId w:val="4"/>
        </w:numPr>
        <w:spacing w:before="0" w:after="120"/>
        <w:rPr>
          <w:sz w:val="24"/>
        </w:rPr>
      </w:pPr>
      <w:r>
        <w:rPr>
          <w:sz w:val="24"/>
          <w:lang w:eastAsia="en-US"/>
        </w:rPr>
        <w:t>Please provide copies of: (a) all data requests which respondent has received from FERC in connection with FERC’s Bulk Power Investigation required by the FERC Order Directing Staff Investigation, 92 FERC ¶ 61,150 (2000) (“Bulk Power Investigation”); and (b) all responses and responsive documents which respondent has provided to FERC in connection with FERC’s Bulk Power Investigation.</w:t>
      </w:r>
    </w:p>
    <w:p>
      <w:pPr>
        <w:pStyle w:val="Heading2"/>
        <w:ind w:hanging="0" w:start="0"/>
        <w:jc w:val="start"/>
        <w:rPr>
          <w:rFonts w:ascii="Times New Roman" w:hAnsi="Times New Roman" w:cs="Times New Roman"/>
          <w:b w:val="false"/>
          <w:sz w:val="26"/>
        </w:rPr>
      </w:pPr>
      <w:r>
        <w:rPr>
          <w:rFonts w:cs="Times New Roman" w:ascii="Times New Roman" w:hAnsi="Times New Roman"/>
          <w:b w:val="false"/>
          <w:sz w:val="26"/>
        </w:rPr>
      </w:r>
      <w:r>
        <w:br w:type="page"/>
      </w:r>
    </w:p>
    <w:p>
      <w:pPr>
        <w:pStyle w:val="Normal"/>
        <w:spacing w:lineRule="auto" w:line="360"/>
        <w:jc w:val="center"/>
        <w:rPr>
          <w:b/>
          <w:sz w:val="24"/>
          <w:u w:val="single"/>
        </w:rPr>
      </w:pPr>
      <w:r>
        <w:rPr>
          <w:b/>
          <w:sz w:val="24"/>
          <w:u w:val="single"/>
        </w:rPr>
        <w:t>CERTIFICATE OF SERVICE</w:t>
      </w:r>
    </w:p>
    <w:p>
      <w:pPr>
        <w:pStyle w:val="BriefTitle"/>
        <w:spacing w:lineRule="auto" w:line="480" w:before="240" w:after="0"/>
        <w:ind w:firstLine="720" w:end="0"/>
        <w:jc w:val="start"/>
        <w:rPr>
          <w:b w:val="false"/>
          <w:sz w:val="26"/>
        </w:rPr>
      </w:pPr>
      <w:r>
        <w:rPr>
          <w:b w:val="false"/>
          <w:sz w:val="26"/>
        </w:rPr>
        <w:t>I hereby certify that I have this day served the Subpoena upon the California Independent System Operator Corporation by electronic mail and by mailing by Federal Express a copy properly addressed to:</w:t>
      </w:r>
    </w:p>
    <w:p>
      <w:pPr>
        <w:pStyle w:val="BodyTextIndent"/>
        <w:rPr>
          <w:b w:val="false"/>
          <w:sz w:val="26"/>
        </w:rPr>
      </w:pPr>
      <w:r>
        <w:rPr>
          <w:b w:val="false"/>
          <w:sz w:val="26"/>
        </w:rPr>
        <w:t>Charles Robinson, General Counsel</w:t>
      </w:r>
    </w:p>
    <w:p>
      <w:pPr>
        <w:pStyle w:val="BodyTextIndent"/>
        <w:rPr>
          <w:b w:val="false"/>
          <w:sz w:val="26"/>
        </w:rPr>
      </w:pPr>
      <w:r>
        <w:rPr>
          <w:b w:val="false"/>
          <w:sz w:val="26"/>
        </w:rPr>
        <w:t>Jeanne Sole, Regulatory Counsel</w:t>
      </w:r>
    </w:p>
    <w:p>
      <w:pPr>
        <w:pStyle w:val="BodyTextIndent"/>
        <w:rPr>
          <w:b w:val="false"/>
          <w:sz w:val="26"/>
        </w:rPr>
      </w:pPr>
      <w:r>
        <w:rPr>
          <w:b w:val="false"/>
          <w:sz w:val="26"/>
        </w:rPr>
        <w:t>California Independent System Operator Corporation</w:t>
      </w:r>
    </w:p>
    <w:p>
      <w:pPr>
        <w:pStyle w:val="BodyTextIndent"/>
        <w:rPr>
          <w:rFonts w:ascii="Arial" w:hAnsi="Arial" w:cs="Arial"/>
          <w:b w:val="false"/>
          <w:sz w:val="26"/>
        </w:rPr>
      </w:pPr>
      <w:r>
        <w:rPr>
          <w:b w:val="false"/>
          <w:sz w:val="26"/>
        </w:rPr>
        <w:t>151 Blue Ravine Road, Folsom, CA 95630</w:t>
      </w:r>
    </w:p>
    <w:p>
      <w:pPr>
        <w:pStyle w:val="BriefTitle"/>
        <w:spacing w:lineRule="auto" w:line="480" w:before="240" w:after="0"/>
        <w:jc w:val="start"/>
        <w:rPr>
          <w:b w:val="false"/>
          <w:sz w:val="26"/>
        </w:rPr>
      </w:pPr>
      <w:r>
        <w:rPr>
          <w:b w:val="false"/>
          <w:sz w:val="26"/>
        </w:rPr>
        <w:t>with first-class postage fully prepaid, in the United States mail.</w:t>
      </w:r>
    </w:p>
    <w:p>
      <w:pPr>
        <w:pStyle w:val="Normal"/>
        <w:spacing w:lineRule="auto" w:line="480"/>
        <w:rPr>
          <w:sz w:val="26"/>
        </w:rPr>
      </w:pPr>
      <w:r>
        <w:rPr>
          <w:sz w:val="26"/>
        </w:rPr>
        <w:tab/>
        <w:t>Executed at San Francisco, California, this 21st day of September 2000.</w:t>
      </w:r>
    </w:p>
    <w:p>
      <w:pPr>
        <w:pStyle w:val="Normal"/>
        <w:rPr>
          <w:sz w:val="26"/>
        </w:rPr>
      </w:pPr>
      <w:r>
        <w:rPr>
          <w:sz w:val="26"/>
        </w:rPr>
        <w:tab/>
        <w:tab/>
        <w:tab/>
        <w:tab/>
        <w:tab/>
        <w:tab/>
      </w:r>
    </w:p>
    <w:p>
      <w:pPr>
        <w:pStyle w:val="Normal"/>
        <w:ind w:firstLine="720" w:start="3600" w:end="0"/>
        <w:rPr>
          <w:sz w:val="26"/>
          <w:u w:val="single"/>
        </w:rPr>
      </w:pPr>
      <w:r>
        <w:rPr>
          <w:sz w:val="26"/>
        </w:rPr>
        <w:t xml:space="preserve">______________________________ </w:t>
      </w:r>
    </w:p>
    <w:p>
      <w:pPr>
        <w:pStyle w:val="Heading3"/>
        <w:ind w:hanging="0" w:start="0"/>
        <w:rPr/>
      </w:pPr>
      <w:r>
        <w:rPr/>
        <w:tab/>
        <w:tab/>
        <w:tab/>
        <w:tab/>
        <w:tab/>
        <w:tab/>
        <w:tab/>
        <w:t>SEAN H. GALLAGHER</w:t>
      </w:r>
    </w:p>
    <w:p>
      <w:pPr>
        <w:pStyle w:val="DoubleSpacing"/>
        <w:widowControl/>
        <w:spacing w:lineRule="auto" w:line="240" w:before="0" w:after="120"/>
        <w:rPr>
          <w:rFonts w:ascii="Times New Roman" w:hAnsi="Times New Roman" w:cs="Times New Roman"/>
        </w:rPr>
      </w:pPr>
      <w:r>
        <w:rPr>
          <w:rFonts w:cs="Times New Roman" w:ascii="Times New Roman" w:hAnsi="Times New Roman"/>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lgerian">
    <w:altName w:val="comic"/>
    <w:charset w:val="00" w:characterSet="windows-1252"/>
    <w:family w:val="decorative"/>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decimal"/>
      <w:lvlText w:val="%1. "/>
      <w:lvlJc w:val="start"/>
      <w:pPr>
        <w:tabs>
          <w:tab w:val="num" w:pos="360"/>
        </w:tabs>
        <w:ind w:start="1080" w:hanging="360"/>
      </w:pPr>
      <w:rPr>
        <w:sz w:val="24"/>
        <w:i w:val="false"/>
        <w:u w:val="none"/>
        <w:b w:val="false"/>
        <w:rFonts w:ascii="Times New Roman" w:hAnsi="Times New Roman" w:cs="Times New Roman"/>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clear" w:pos="720"/>
        <w:tab w:val="left" w:pos="80" w:leader="none"/>
        <w:tab w:val="left" w:pos="680" w:leader="none"/>
      </w:tabs>
      <w:outlineLvl w:val="0"/>
    </w:pPr>
    <w:rPr>
      <w:rFonts w:ascii="Algerian;Courier New" w:hAnsi="Algerian;Courier New" w:cs="Algerian;Courier New"/>
      <w:b/>
      <w:sz w:val="28"/>
      <w:lang w:eastAsia="en-US"/>
    </w:rPr>
  </w:style>
  <w:style w:type="paragraph" w:styleId="Heading2">
    <w:name w:val="heading 2"/>
    <w:basedOn w:val="Normal"/>
    <w:next w:val="Normal"/>
    <w:qFormat/>
    <w:pPr>
      <w:keepNext w:val="true"/>
      <w:numPr>
        <w:ilvl w:val="1"/>
        <w:numId w:val="1"/>
      </w:numPr>
      <w:jc w:val="center"/>
      <w:outlineLvl w:val="1"/>
    </w:pPr>
    <w:rPr>
      <w:rFonts w:ascii="Algerian;Courier New" w:hAnsi="Algerian;Courier New" w:cs="Algerian;Courier New"/>
      <w:b/>
      <w:sz w:val="28"/>
      <w:lang w:eastAsia="en-US"/>
    </w:rPr>
  </w:style>
  <w:style w:type="paragraph" w:styleId="Heading3">
    <w:name w:val="heading 3"/>
    <w:basedOn w:val="Normal"/>
    <w:next w:val="Normal"/>
    <w:qFormat/>
    <w:pPr>
      <w:keepNext w:val="true"/>
      <w:numPr>
        <w:ilvl w:val="2"/>
        <w:numId w:val="1"/>
      </w:numPr>
      <w:outlineLvl w:val="2"/>
    </w:pPr>
    <w:rPr>
      <w:sz w:val="26"/>
      <w:lang w:eastAsia="en-US"/>
    </w:rPr>
  </w:style>
  <w:style w:type="paragraph" w:styleId="Heading4">
    <w:name w:val="heading 4"/>
    <w:basedOn w:val="Normal"/>
    <w:next w:val="Normal"/>
    <w:qFormat/>
    <w:pPr>
      <w:keepNext w:val="true"/>
      <w:numPr>
        <w:ilvl w:val="3"/>
        <w:numId w:val="1"/>
      </w:numPr>
      <w:spacing w:before="260" w:after="260"/>
      <w:outlineLvl w:val="3"/>
    </w:pPr>
    <w:rPr>
      <w:b/>
      <w:sz w:val="26"/>
    </w:rPr>
  </w:style>
  <w:style w:type="character" w:styleId="WW8Num1z0">
    <w:name w:val="WW8Num1z0"/>
    <w:qFormat/>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pPr>
    <w:rPr>
      <w:b/>
      <w:sz w:val="22"/>
      <w:lang w:eastAsia="en-US"/>
    </w:rPr>
  </w:style>
  <w:style w:type="paragraph" w:styleId="BodyTextIndent2">
    <w:name w:val="Body Text Indent 2"/>
    <w:basedOn w:val="Normal"/>
    <w:qFormat/>
    <w:pPr>
      <w:widowControl w:val="false"/>
      <w:ind w:hanging="720" w:start="1440" w:end="0"/>
    </w:pPr>
    <w:rPr>
      <w:sz w:val="22"/>
      <w:lang w:eastAsia="en-US"/>
    </w:rPr>
  </w:style>
  <w:style w:type="paragraph" w:styleId="BodyTextIndent3">
    <w:name w:val="Body Text Indent 3"/>
    <w:basedOn w:val="Normal"/>
    <w:qFormat/>
    <w:pPr>
      <w:widowControl w:val="false"/>
      <w:tabs>
        <w:tab w:val="clear" w:pos="720"/>
        <w:tab w:val="left" w:pos="80" w:leader="none"/>
        <w:tab w:val="left" w:pos="680" w:leader="none"/>
        <w:tab w:val="left" w:pos="780" w:leader="none"/>
        <w:tab w:val="left" w:pos="4860" w:leader="none"/>
        <w:tab w:val="left" w:pos="5220" w:leader="none"/>
        <w:tab w:val="left" w:pos="5920" w:leader="none"/>
        <w:tab w:val="left" w:pos="6360" w:leader="none"/>
        <w:tab w:val="left" w:pos="6440" w:leader="none"/>
        <w:tab w:val="left" w:pos="8580" w:leader="none"/>
      </w:tabs>
      <w:spacing w:lineRule="auto" w:line="360"/>
      <w:ind w:firstLine="720" w:start="58" w:end="0"/>
    </w:pPr>
    <w:rPr>
      <w:sz w:val="22"/>
      <w:lang w:eastAsia="en-US"/>
    </w:rPr>
  </w:style>
  <w:style w:type="paragraph" w:styleId="DoubleSpacing">
    <w:name w:val="Double Spacing"/>
    <w:basedOn w:val="Normal"/>
    <w:qFormat/>
    <w:pPr>
      <w:widowControl w:val="false"/>
      <w:spacing w:lineRule="exact" w:line="480"/>
    </w:pPr>
    <w:rPr>
      <w:rFonts w:ascii="Courier New" w:hAnsi="Courier New" w:cs="Courier New"/>
      <w:sz w:val="24"/>
    </w:rPr>
  </w:style>
  <w:style w:type="paragraph" w:styleId="BriefTitle">
    <w:name w:val="Brief Title"/>
    <w:basedOn w:val="Normal"/>
    <w:qFormat/>
    <w:pPr>
      <w:jc w:val="center"/>
    </w:pPr>
    <w:rPr>
      <w:b/>
      <w:sz w:val="28"/>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2000-10-25T21:24:00Z</dcterms:created>
  <dc:creator>Employee</dc:creator>
  <dc:description/>
  <dc:language>en-CA</dc:language>
  <cp:lastModifiedBy>JSole</cp:lastModifiedBy>
  <dcterms:modified xsi:type="dcterms:W3CDTF">2000-10-25T21:24:00Z</dcterms:modified>
  <cp:revision>2</cp:revision>
  <dc:subject/>
  <dc:title>Draft Supplemental Data Request</dc:title>
</cp:coreProperties>
</file>