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cPr>
          <w:p>
            <w:pPr>
              <w:pStyle w:val="LeftSide"/>
              <w:widowControl/>
              <w:snapToGrid w:val="false"/>
              <w:spacing w:before="1200" w:after="0"/>
              <w:rPr>
                <w:rFonts w:ascii="Century Gothic" w:hAnsi="Century Gothic" w:cs="Century Gothic"/>
                <w:spacing w:val="-2"/>
              </w:rPr>
            </w:pPr>
            <w:r>
              <w:rPr>
                <w:rFonts w:cs="Century Gothic" w:ascii="Century Gothic" w:hAnsi="Century Gothic"/>
                <w:spacing w:val="-2"/>
              </w:rPr>
            </w:r>
          </w:p>
        </w:tc>
        <w:tc>
          <w:tcPr>
            <w:tcW w:w="4522" w:type="dxa"/>
            <w:tcBorders/>
          </w:tcPr>
          <w:p>
            <w:pPr>
              <w:pStyle w:val="Heading4"/>
              <w:spacing w:before="120" w:after="0"/>
              <w:ind w:hanging="0" w:start="0"/>
              <w:rPr/>
            </w:pPr>
            <w:r>
              <w:rPr/>
              <w:t>LAW OFFICES OF</w:t>
            </w:r>
          </w:p>
          <w:p>
            <w:pPr>
              <w:pStyle w:val="Heading2"/>
              <w:spacing w:before="0" w:after="120"/>
              <w:ind w:hanging="0" w:start="0"/>
              <w:rPr>
                <w:b/>
                <w:sz w:val="32"/>
              </w:rPr>
            </w:pPr>
            <w:r>
              <w:rPr>
                <w:b/>
                <w:sz w:val="32"/>
              </w:rPr>
              <w:t>Daniel W. Douglass</w:t>
            </w:r>
          </w:p>
          <w:p>
            <w:pPr>
              <w:pStyle w:val="Normal"/>
              <w:suppressAutoHyphens w:val="true"/>
              <w:jc w:val="center"/>
              <w:rPr>
                <w:spacing w:val="40"/>
                <w:sz w:val="14"/>
              </w:rPr>
            </w:pPr>
            <w:r>
              <w:rPr>
                <w:spacing w:val="40"/>
                <w:sz w:val="14"/>
              </w:rPr>
              <w:t>ATTORNEYS AT LAW</w:t>
            </w:r>
          </w:p>
          <w:p>
            <w:pPr>
              <w:pStyle w:val="zLtrAddr"/>
              <w:widowControl/>
              <w:rPr/>
            </w:pPr>
            <w:r>
              <w:rPr/>
              <w:t>5959 Topanga Canyon Boulevard Suite 244</w:t>
            </w:r>
          </w:p>
          <w:p>
            <w:pPr>
              <w:pStyle w:val="zLtrAddr"/>
              <w:widowControl/>
              <w:rPr/>
            </w:pPr>
            <w:r>
              <w:rPr/>
              <w:t>Woodland Hills, California 91367-7313</w:t>
              <w:br/>
              <w:t>www.energyattorney.com</w:t>
            </w:r>
          </w:p>
          <w:p>
            <w:pPr>
              <w:pStyle w:val="zLtrAddr"/>
              <w:widowControl/>
              <w:rPr>
                <w:position w:val="-24"/>
              </w:rPr>
            </w:pPr>
            <w:r>
              <w:rPr>
                <w:position w:val="-24"/>
              </w:rPr>
            </w:r>
          </w:p>
          <w:p>
            <w:pPr>
              <w:pStyle w:val="Normal"/>
              <w:suppressAutoHyphens w:val="true"/>
              <w:spacing w:before="360" w:after="0"/>
              <w:jc w:val="center"/>
              <w:rPr/>
            </w:pPr>
            <w:r>
              <w:rPr>
                <w:sz w:val="24"/>
                <w:lang w:val="en-CA" w:eastAsia="en-CA"/>
              </w:rPr>
              <w:t>October 24, 2001</w:t>
            </w:r>
            <w:r>
              <w:rPr>
                <w:spacing w:val="-2"/>
                <w:sz w:val="24"/>
              </w:rPr>
              <w:t xml:space="preserve"> </w:t>
            </w:r>
          </w:p>
        </w:tc>
        <w:tc>
          <w:tcPr>
            <w:tcW w:w="3384" w:type="dxa"/>
            <w:tcBorders/>
          </w:tcPr>
          <w:p>
            <w:pPr>
              <w:pStyle w:val="Normal"/>
              <w:suppressAutoHyphens w:val="true"/>
              <w:spacing w:before="200" w:after="0"/>
              <w:jc w:val="end"/>
              <w:rPr/>
            </w:pPr>
            <w:r>
              <w:rPr/>
              <w:br/>
              <w:br/>
              <w:br/>
              <w:br/>
              <w:br/>
            </w:r>
            <w:r>
              <w:rPr>
                <w:sz w:val="14"/>
              </w:rPr>
              <w:t>Direct Dial: (818) 596-2201</w:t>
              <w:br/>
              <w:t>Facsimile: (818) 346-6502</w:t>
              <w:br/>
              <w:t>Email: douglass@energyattorney.com</w:t>
            </w:r>
          </w:p>
        </w:tc>
      </w:tr>
    </w:tbl>
    <w:p>
      <w:pPr>
        <w:pStyle w:val="Address"/>
        <w:rPr/>
      </w:pPr>
      <w:r>
        <w:rPr/>
      </w:r>
    </w:p>
    <w:p>
      <w:pPr>
        <w:pStyle w:val="Normal"/>
        <w:rPr/>
      </w:pPr>
      <w:r>
        <w:rPr/>
      </w:r>
    </w:p>
    <w:p>
      <w:pPr>
        <w:pStyle w:val="Normal"/>
        <w:rPr/>
      </w:pPr>
      <w:r>
        <w:rPr/>
      </w:r>
    </w:p>
    <w:p>
      <w:pPr>
        <w:pStyle w:val="zMemoInfo"/>
        <w:widowControl/>
        <w:suppressAutoHyphens w:val="false"/>
        <w:spacing w:before="0" w:after="0"/>
        <w:rPr/>
      </w:pPr>
      <w:r>
        <w:rPr/>
        <w:t>Ms. Loretta Lynch</w:t>
      </w:r>
    </w:p>
    <w:p>
      <w:pPr>
        <w:pStyle w:val="Normal"/>
        <w:rPr>
          <w:sz w:val="24"/>
        </w:rPr>
      </w:pPr>
      <w:r>
        <w:rPr>
          <w:sz w:val="24"/>
        </w:rPr>
        <w:t>President</w:t>
      </w:r>
    </w:p>
    <w:p>
      <w:pPr>
        <w:pStyle w:val="Normal"/>
        <w:rPr>
          <w:sz w:val="24"/>
        </w:rPr>
      </w:pPr>
      <w:r>
        <w:rPr>
          <w:sz w:val="24"/>
        </w:rPr>
        <w:t>California Public Utilities Commission</w:t>
      </w:r>
    </w:p>
    <w:p>
      <w:pPr>
        <w:pStyle w:val="Normal"/>
        <w:rPr>
          <w:sz w:val="24"/>
        </w:rPr>
      </w:pPr>
      <w:r>
        <w:rPr>
          <w:sz w:val="24"/>
        </w:rPr>
        <w:t>505 Van Ness Avenue</w:t>
      </w:r>
    </w:p>
    <w:p>
      <w:pPr>
        <w:pStyle w:val="Normal"/>
        <w:rPr>
          <w:sz w:val="24"/>
        </w:rPr>
      </w:pPr>
      <w:r>
        <w:rPr>
          <w:sz w:val="24"/>
        </w:rPr>
        <w:t>San Francisco, CA 94102</w:t>
        <w:tab/>
        <w:tab/>
        <w:tab/>
        <w:tab/>
        <w:tab/>
      </w:r>
    </w:p>
    <w:p>
      <w:pPr>
        <w:pStyle w:val="Normal"/>
        <w:rPr>
          <w:sz w:val="24"/>
        </w:rPr>
      </w:pPr>
      <w:r>
        <w:rPr>
          <w:sz w:val="24"/>
        </w:rPr>
      </w:r>
    </w:p>
    <w:p>
      <w:pPr>
        <w:pStyle w:val="Normal"/>
        <w:rPr>
          <w:sz w:val="24"/>
        </w:rPr>
      </w:pPr>
      <w:r>
        <w:rPr>
          <w:sz w:val="24"/>
        </w:rPr>
        <w:t>Dear President Lynch,</w:t>
      </w:r>
    </w:p>
    <w:p>
      <w:pPr>
        <w:pStyle w:val="Normal"/>
        <w:rPr>
          <w:sz w:val="24"/>
        </w:rPr>
      </w:pPr>
      <w:r>
        <w:rPr>
          <w:sz w:val="24"/>
        </w:rPr>
      </w:r>
    </w:p>
    <w:p>
      <w:pPr>
        <w:pStyle w:val="Normal"/>
        <w:rPr>
          <w:sz w:val="24"/>
        </w:rPr>
      </w:pPr>
      <w:r>
        <w:rPr>
          <w:sz w:val="24"/>
        </w:rPr>
        <w:t>The Alliance for Retail Energy Markets (“AReM”) strongly disagrees with the unfounded assertions in the October 19, 2001 letter of California State Treasurer Philip Angelides, which seeks to roll back the suspension date for direct access.  Mr. Angelides, once again, attempts unsuccessfully to point the finger at direct access for problems the State of California has created.</w:t>
      </w:r>
    </w:p>
    <w:p>
      <w:pPr>
        <w:pStyle w:val="Normal"/>
        <w:rPr>
          <w:sz w:val="24"/>
        </w:rPr>
      </w:pPr>
      <w:r>
        <w:rPr>
          <w:sz w:val="24"/>
        </w:rPr>
      </w:r>
    </w:p>
    <w:p>
      <w:pPr>
        <w:pStyle w:val="Normal"/>
        <w:rPr>
          <w:sz w:val="24"/>
        </w:rPr>
      </w:pPr>
      <w:r>
        <w:rPr>
          <w:sz w:val="24"/>
        </w:rPr>
        <w:t xml:space="preserve">Mr. Angelides’ letter makes much out of huge, unsubstantiated dollar amounts, which he claims represent costs shifted to homeowners, small businesses and other enterprises directly attributable to customers choosing direct access.  He also claims that direct load “soared” to more than 13% of total load between August 13 and September 20.  As you are aware, the Commission’s own reports, based on data supplied by the utilities, directly refute this charge.  In fact, direct access load stood at 8% as of September 30, 2001 – still a notch below the direct access load registered for the first month that data were collected, July 1998.  </w:t>
      </w:r>
    </w:p>
    <w:p>
      <w:pPr>
        <w:pStyle w:val="Normal"/>
        <w:rPr>
          <w:sz w:val="24"/>
        </w:rPr>
      </w:pPr>
      <w:r>
        <w:rPr>
          <w:sz w:val="24"/>
        </w:rPr>
      </w:r>
    </w:p>
    <w:p>
      <w:pPr>
        <w:pStyle w:val="Normal"/>
        <w:rPr>
          <w:sz w:val="24"/>
        </w:rPr>
      </w:pPr>
      <w:r>
        <w:rPr>
          <w:sz w:val="24"/>
        </w:rPr>
        <w:t xml:space="preserve">As to the unsubstantiated claims of cost shifting, AReM notes that it has always advocated that customers pay a fair share of the costs of the power they used.  Surely the numbers floated by Mr. Angelides are suspect given the tiny percentages of customers who elected direct access between June and September.  His numbers also seem to fail to take into account the considerable dollars saved by the state because of reduced purchases in the spot market.  Perhaps state funding of conservation measures should be eliminated as well, given Mr. Angelides’ view of the world.  If the Treasurer is so upset about the amount of load switched to direct access and now wants to penalize those people who switched – should he not be equally concerned about cost-shifting that occurred due to those customers who participated in the 20/20 program and/or who otherwise contributed to the approximately 10% conservation efforts made by Californians?  These efforts (which have been repeatedly applauded by the State and this Commission) clearly exacerbated the DWR’s problem with having signed up excess power. </w:t>
      </w:r>
    </w:p>
    <w:p>
      <w:pPr>
        <w:pStyle w:val="Normal"/>
        <w:rPr>
          <w:sz w:val="24"/>
        </w:rPr>
      </w:pPr>
      <w:r>
        <w:rPr>
          <w:sz w:val="24"/>
        </w:rPr>
      </w:r>
    </w:p>
    <w:p>
      <w:pPr>
        <w:pStyle w:val="Normal"/>
        <w:rPr>
          <w:sz w:val="24"/>
        </w:rPr>
      </w:pPr>
      <w:r>
        <w:rPr>
          <w:sz w:val="24"/>
        </w:rPr>
        <w:t xml:space="preserve">Direct access customers exercised a legal right to enter into contracts with alternative suppliers.  This right is now suspended, but those who exercised their right to choose through written contracts signed on or before September 20 have the legal right to receive services under those contracts.  Mr. Angelides’ interest in abrogating contracts seems noticeably one-sided.  Moreover, his recommended action would be counter-productive to his goal of issuing bonds on an expedited basis, as retroactive suspension of direct access will undoubtedly lead to lawsuits challenging the Constitutionality of such action.  </w:t>
      </w:r>
    </w:p>
    <w:p>
      <w:pPr>
        <w:pStyle w:val="Normal"/>
        <w:rPr>
          <w:sz w:val="24"/>
        </w:rPr>
      </w:pPr>
      <w:r>
        <w:rPr>
          <w:sz w:val="24"/>
        </w:rPr>
      </w:r>
    </w:p>
    <w:p>
      <w:pPr>
        <w:pStyle w:val="Normal"/>
        <w:rPr>
          <w:sz w:val="24"/>
        </w:rPr>
      </w:pPr>
      <w:r>
        <w:rPr>
          <w:sz w:val="24"/>
        </w:rPr>
        <w:t xml:space="preserve">For these reasons, AReM urges the Commission to reject Mr. Angelides’ continuing efforts to roll back the date for suspension of direct access.  </w:t>
      </w:r>
    </w:p>
    <w:p>
      <w:pPr>
        <w:pStyle w:val="Normal"/>
        <w:rPr>
          <w:sz w:val="24"/>
        </w:rPr>
      </w:pPr>
      <w:r>
        <w:rPr>
          <w:sz w:val="24"/>
        </w:rPr>
      </w:r>
    </w:p>
    <w:p>
      <w:pPr>
        <w:pStyle w:val="LetterSignature"/>
        <w:ind w:start="4320" w:end="0"/>
        <w:jc w:val="start"/>
        <w:rPr/>
      </w:pPr>
      <w:r>
        <w:rPr/>
        <w:t>Very truly yours,</w:t>
      </w:r>
    </w:p>
    <w:p>
      <w:pPr>
        <w:pStyle w:val="LetterSignature"/>
        <w:spacing w:before="240" w:after="0"/>
        <w:rPr/>
      </w:pPr>
      <w:r>
        <w:rPr/>
      </w:r>
    </w:p>
    <w:p>
      <w:pPr>
        <w:pStyle w:val="LetterSignature"/>
        <w:rPr/>
      </w:pPr>
      <w:r>
        <w:rPr/>
      </w:r>
    </w:p>
    <w:p>
      <w:pPr>
        <w:pStyle w:val="Normal"/>
        <w:rPr/>
      </w:pPr>
      <w:r>
        <w:rPr/>
        <w:tab/>
        <w:tab/>
        <w:tab/>
        <w:tab/>
        <w:tab/>
        <w:tab/>
      </w:r>
      <w:r>
        <w:rPr>
          <w:sz w:val="24"/>
        </w:rPr>
        <w:t>Daniel W. Douglass</w:t>
      </w:r>
    </w:p>
    <w:p>
      <w:pPr>
        <w:pStyle w:val="Normal"/>
        <w:ind w:firstLine="720" w:start="3600" w:end="0"/>
        <w:rPr>
          <w:sz w:val="24"/>
        </w:rPr>
      </w:pPr>
      <w:r>
        <w:rPr>
          <w:sz w:val="24"/>
        </w:rPr>
        <w:t>Counsel for the Alliance for Retail Energy Markets</w:t>
      </w:r>
    </w:p>
    <w:p>
      <w:pPr>
        <w:pStyle w:val="Normal"/>
        <w:ind w:start="5040" w:end="0"/>
        <w:rPr/>
      </w:pPr>
      <w:r>
        <w:rPr/>
      </w:r>
    </w:p>
    <w:p>
      <w:pPr>
        <w:pStyle w:val="Normal"/>
        <w:ind w:firstLine="720" w:start="5040" w:end="0"/>
        <w:rPr/>
      </w:pPr>
      <w:r>
        <w:rPr/>
      </w:r>
    </w:p>
    <w:p>
      <w:pPr>
        <w:pStyle w:val="Normal"/>
        <w:ind w:firstLine="720" w:start="5040" w:end="0"/>
        <w:rPr/>
      </w:pPr>
      <w:r>
        <w:rPr/>
      </w:r>
    </w:p>
    <w:p>
      <w:pPr>
        <w:pStyle w:val="Normal"/>
        <w:ind w:firstLine="720" w:start="5040" w:end="0"/>
        <w:rPr/>
      </w:pPr>
      <w:r>
        <w:rPr/>
        <w:t xml:space="preserve"> </w:t>
      </w:r>
      <w:r>
        <w:rPr/>
        <w:tab/>
      </w:r>
    </w:p>
    <w:p>
      <w:pPr>
        <w:pStyle w:val="Normal"/>
        <w:ind w:firstLine="720" w:start="5040" w:end="0"/>
        <w:rPr/>
      </w:pPr>
      <w:r>
        <w:rPr/>
      </w:r>
    </w:p>
    <w:p>
      <w:pPr>
        <w:pStyle w:val="Normal"/>
        <w:rPr>
          <w:sz w:val="24"/>
        </w:rPr>
      </w:pPr>
      <w:r>
        <w:rPr>
          <w:sz w:val="24"/>
        </w:rPr>
        <w:t>cc:</w:t>
        <w:tab/>
        <w:t>Commissioner Richard A. Bilas</w:t>
      </w:r>
    </w:p>
    <w:p>
      <w:pPr>
        <w:pStyle w:val="Normal"/>
        <w:rPr>
          <w:sz w:val="24"/>
        </w:rPr>
      </w:pPr>
      <w:r>
        <w:rPr>
          <w:sz w:val="24"/>
        </w:rPr>
        <w:tab/>
        <w:t>Commissioner Henry Duque</w:t>
      </w:r>
    </w:p>
    <w:p>
      <w:pPr>
        <w:pStyle w:val="Normal"/>
        <w:rPr>
          <w:sz w:val="24"/>
        </w:rPr>
      </w:pPr>
      <w:r>
        <w:rPr>
          <w:sz w:val="24"/>
        </w:rPr>
        <w:tab/>
        <w:t>Commissioner Carl Wood</w:t>
      </w:r>
    </w:p>
    <w:p>
      <w:pPr>
        <w:pStyle w:val="Normal"/>
        <w:rPr>
          <w:sz w:val="24"/>
        </w:rPr>
      </w:pPr>
      <w:r>
        <w:rPr>
          <w:sz w:val="24"/>
        </w:rPr>
        <w:tab/>
        <w:t>Commissioner Geoffrey Brown</w:t>
      </w:r>
    </w:p>
    <w:p>
      <w:pPr>
        <w:pStyle w:val="zMemoInfo"/>
        <w:widowControl/>
        <w:suppressAutoHyphens w:val="false"/>
        <w:spacing w:before="0" w:after="0"/>
        <w:rPr/>
      </w:pPr>
      <w:r>
        <w:rPr/>
        <w:tab/>
        <w:t>Philip Angelides, State Treasurer</w:t>
      </w:r>
    </w:p>
    <w:p>
      <w:pPr>
        <w:pStyle w:val="Normal"/>
        <w:rPr/>
      </w:pPr>
      <w:r>
        <w:rPr>
          <w:sz w:val="24"/>
        </w:rPr>
        <w:tab/>
      </w:r>
      <w:r>
        <w:rPr/>
        <w:t xml:space="preserve"> </w:t>
      </w:r>
    </w:p>
    <w:p>
      <w:pPr>
        <w:pStyle w:val="Normal"/>
        <w:rPr/>
      </w:pPr>
      <w:r>
        <w:rPr/>
        <w:tab/>
        <w:tab/>
        <w:tab/>
        <w:tab/>
        <w:tab/>
        <w:tab/>
        <w:tab/>
        <w:tab/>
        <w:tab/>
      </w:r>
    </w:p>
    <w:p>
      <w:pPr>
        <w:pStyle w:val="Normal"/>
        <w:spacing w:lineRule="exact" w:line="200" w:before="240" w:after="0"/>
        <w:rPr/>
      </w:pPr>
      <w:r>
        <w:rPr/>
      </w:r>
    </w:p>
    <w:sectPr>
      <w:headerReference w:type="default" r:id="rId2"/>
      <w:headerReference w:type="first" r:id="rId3"/>
      <w:type w:val="nextPage"/>
      <w:pgSz w:w="12240" w:h="15840"/>
      <w:pgMar w:left="1440" w:right="1440" w:gutter="0" w:header="576" w:top="7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altName w:val="Book Antiqua"/>
    <w:charset w:val="00" w:characterSet="windows-1252"/>
    <w:family w:val="roman"/>
    <w:pitch w:val="default"/>
  </w:font>
  <w:font w:name="Book Antiqua">
    <w:charset w:val="00" w:characterSet="windows-1252"/>
    <w:family w:val="roman"/>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overflowPunct w:val="false"/>
      <w:autoSpaceDE w:val="false"/>
      <w:spacing w:before="0" w:after="0"/>
      <w:ind w:hanging="0" w:start="0"/>
      <w:textAlignment w:val="baseline"/>
      <w:rPr>
        <w:position w:val="-68"/>
      </w:rPr>
    </w:pPr>
    <w:r>
      <w:rPr/>
      <w:t>LAW OFFICES OF</w:t>
    </w:r>
  </w:p>
  <w:p>
    <w:pPr>
      <w:pStyle w:val="Normal"/>
      <w:suppressAutoHyphens w:val="true"/>
      <w:jc w:val="center"/>
      <w:rPr>
        <w:b/>
        <w:position w:val="-40"/>
        <w:sz w:val="32"/>
      </w:rPr>
    </w:pPr>
    <w:r>
      <w:rPr>
        <w:b/>
        <w:position w:val="-40"/>
        <w:sz w:val="32"/>
      </w:rPr>
      <w:t>Daniel W. Douglass</w:t>
    </w:r>
  </w:p>
  <w:p>
    <w:pPr>
      <w:pStyle w:val="Header"/>
      <w:jc w:val="center"/>
      <w:rPr>
        <w:sz w:val="24"/>
      </w:rPr>
    </w:pPr>
    <w:r>
      <w:rPr>
        <w:spacing w:val="40"/>
        <w:sz w:val="14"/>
      </w:rPr>
      <w:t>ATTORNEYS AT LAW</w:t>
    </w:r>
  </w:p>
  <w:p>
    <w:pPr>
      <w:pStyle w:val="Header"/>
      <w:rPr>
        <w:sz w:val="24"/>
      </w:rPr>
    </w:pPr>
    <w:r>
      <w:rPr>
        <w:sz w:val="24"/>
      </w:rPr>
    </w:r>
  </w:p>
  <w:p>
    <w:pPr>
      <w:pStyle w:val="Header"/>
      <w:rPr>
        <w:sz w:val="24"/>
      </w:rPr>
    </w:pPr>
    <w:r>
      <w:rPr>
        <w:sz w:val="24"/>
      </w:rPr>
      <w:t>President Loretta Lynch</w:t>
    </w:r>
  </w:p>
  <w:p>
    <w:pPr>
      <w:pStyle w:val="Header"/>
      <w:rPr>
        <w:sz w:val="24"/>
      </w:rPr>
    </w:pPr>
    <w:r>
      <w:rPr>
        <w:sz w:val="24"/>
      </w:rPr>
      <w:t>October 24, 2001</w:t>
    </w:r>
  </w:p>
  <w:p>
    <w:pPr>
      <w:pStyle w:val="Header"/>
      <w:rPr>
        <w:rStyle w:val="PageNumb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Arial" w:hAnsi="Helvetica;Arial" w:cs="Helvetica;Arial"/>
      <w:b/>
      <w:kern w:val="2"/>
      <w:sz w:val="26"/>
    </w:rPr>
  </w:style>
  <w:style w:type="paragraph" w:styleId="Heading2">
    <w:name w:val="heading 2"/>
    <w:basedOn w:val="Normal"/>
    <w:next w:val="Normal"/>
    <w:qFormat/>
    <w:pPr>
      <w:keepNext w:val="true"/>
      <w:numPr>
        <w:ilvl w:val="1"/>
        <w:numId w:val="1"/>
      </w:numPr>
      <w:overflowPunct w:val="true"/>
      <w:autoSpaceDE w:val="true"/>
      <w:jc w:val="center"/>
      <w:textAlignment w:val="auto"/>
      <w:outlineLvl w:val="1"/>
    </w:pPr>
    <w:rPr>
      <w:sz w:val="24"/>
    </w:rPr>
  </w:style>
  <w:style w:type="paragraph" w:styleId="Heading4">
    <w:name w:val="heading 4"/>
    <w:basedOn w:val="Normal"/>
    <w:next w:val="Normal"/>
    <w:qFormat/>
    <w:pPr>
      <w:keepNext w:val="true"/>
      <w:numPr>
        <w:ilvl w:val="3"/>
        <w:numId w:val="1"/>
      </w:numPr>
      <w:suppressAutoHyphens w:val="true"/>
      <w:overflowPunct w:val="true"/>
      <w:autoSpaceDE w:val="true"/>
      <w:spacing w:before="120" w:after="0"/>
      <w:jc w:val="center"/>
      <w:textAlignment w:val="auto"/>
      <w:outlineLvl w:val="3"/>
    </w:pPr>
    <w:rPr>
      <w:b/>
      <w:bCs/>
      <w:spacing w:val="40"/>
      <w:sz w:val="14"/>
    </w:rPr>
  </w:style>
  <w:style w:type="character" w:styleId="WW8Num1z0">
    <w:name w:val="WW8Num1z0"/>
    <w:qFormat/>
    <w:rPr>
      <w:b/>
      <w:i w:val="false"/>
    </w:rPr>
  </w:style>
  <w:style w:type="character" w:styleId="WW8Num1z1">
    <w:name w:val="WW8Num1z1"/>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MemoHdg">
    <w:name w:val="zMemoHdg"/>
    <w:basedOn w:val="DefaultParagraphFont"/>
    <w:qFormat/>
    <w:rPr>
      <w:color w:val="000000"/>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1080" w:leader="none"/>
      </w:tabs>
      <w:ind w:firstLine="720" w:start="0" w:end="0"/>
    </w:pPr>
    <w:rPr>
      <w:sz w:val="24"/>
    </w:rPr>
  </w:style>
  <w:style w:type="paragraph" w:styleId="Body">
    <w:name w:val="Body"/>
    <w:basedOn w:val="Normal"/>
    <w:qFormat/>
    <w:pPr>
      <w:spacing w:before="0" w:after="240"/>
      <w:ind w:firstLine="720" w:start="0" w:end="0"/>
      <w:jc w:val="both"/>
    </w:pPr>
    <w:rPr>
      <w:sz w:val="24"/>
    </w:rPr>
  </w:style>
  <w:style w:type="paragraph" w:styleId="LeftSide">
    <w:name w:val="LeftSide"/>
    <w:qFormat/>
    <w:pPr>
      <w:widowControl w:val="false"/>
      <w:suppressAutoHyphens w:val="true"/>
      <w:overflowPunct w:val="false"/>
      <w:autoSpaceDE w:val="false"/>
      <w:bidi w:val="0"/>
      <w:spacing w:before="1200" w:after="0"/>
      <w:textAlignment w:val="baseline"/>
    </w:pPr>
    <w:rPr>
      <w:rFonts w:ascii="Times New Roman" w:hAnsi="Times New Roman" w:eastAsia="Times New Roman" w:cs="Times New Roman"/>
      <w:color w:val="auto"/>
      <w:spacing w:val="10"/>
      <w:sz w:val="16"/>
      <w:szCs w:val="20"/>
      <w:lang w:val="en-US" w:bidi="ar-SA" w:eastAsia="zh-CN"/>
    </w:rPr>
  </w:style>
  <w:style w:type="paragraph" w:styleId="RightSide">
    <w:name w:val="RightSide"/>
    <w:qFormat/>
    <w:pPr>
      <w:widowControl w:val="false"/>
      <w:suppressAutoHyphens w:val="true"/>
      <w:overflowPunct w:val="false"/>
      <w:autoSpaceDE w:val="false"/>
      <w:bidi w:val="0"/>
      <w:spacing w:before="720" w:after="0"/>
      <w:ind w:hanging="0" w:start="1642" w:end="0"/>
      <w:textAlignment w:val="baseline"/>
    </w:pPr>
    <w:rPr>
      <w:rFonts w:ascii="Times New Roman" w:hAnsi="Times New Roman" w:eastAsia="Times New Roman" w:cs="Times New Roman"/>
      <w:color w:val="auto"/>
      <w:spacing w:val="10"/>
      <w:sz w:val="16"/>
      <w:szCs w:val="20"/>
      <w:lang w:val="en-US" w:bidi="ar-SA" w:eastAsia="zh-CN"/>
    </w:rPr>
  </w:style>
  <w:style w:type="paragraph" w:styleId="zLtrAddr">
    <w:name w:val="zLtrAddr"/>
    <w:basedOn w:val="Normal"/>
    <w:qFormat/>
    <w:pPr>
      <w:widowControl w:val="false"/>
      <w:suppressAutoHyphens w:val="true"/>
      <w:spacing w:before="100" w:after="0"/>
      <w:jc w:val="center"/>
    </w:pPr>
    <w:rPr>
      <w:spacing w:val="10"/>
      <w:sz w:val="16"/>
    </w:rPr>
  </w:style>
  <w:style w:type="paragraph" w:styleId="zMemoInfo">
    <w:name w:val="zMemoInfo"/>
    <w:basedOn w:val="Normal"/>
    <w:qFormat/>
    <w:pPr>
      <w:widowControl w:val="false"/>
      <w:suppressAutoHyphens w:val="true"/>
      <w:spacing w:before="66" w:after="112"/>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rFonts w:ascii="Arial" w:hAnsi="Arial" w:cs="Arial"/>
      <w:sz w:val="22"/>
    </w:rPr>
  </w:style>
  <w:style w:type="paragraph" w:styleId="Level2">
    <w:name w:val="Level 2"/>
    <w:basedOn w:val="Normal"/>
    <w:next w:val="Normal"/>
    <w:qFormat/>
    <w:pPr>
      <w:suppressAutoHyphens w:val="true"/>
      <w:spacing w:lineRule="exact" w:line="240" w:before="0" w:after="240"/>
      <w:ind w:hanging="432" w:start="864" w:end="0"/>
    </w:pPr>
    <w:rPr>
      <w:rFonts w:ascii="Arial" w:hAnsi="Arial" w:cs="Arial"/>
      <w:sz w:val="22"/>
    </w:rPr>
  </w:style>
  <w:style w:type="paragraph" w:styleId="Level1Sub">
    <w:name w:val="Level 1 Sub"/>
    <w:basedOn w:val="Normal"/>
    <w:qFormat/>
    <w:pPr>
      <w:suppressAutoHyphens w:val="true"/>
      <w:spacing w:lineRule="exact" w:line="240" w:before="0" w:after="240"/>
      <w:ind w:hanging="0" w:start="432" w:end="0"/>
    </w:pPr>
    <w:rPr>
      <w:rFonts w:ascii="Arial" w:hAnsi="Arial" w:cs="Arial"/>
      <w:sz w:val="22"/>
    </w:rPr>
  </w:style>
  <w:style w:type="paragraph" w:styleId="EditNotations">
    <w:name w:val="Edit Notations"/>
    <w:basedOn w:val="Normal"/>
    <w:qFormat/>
    <w:pPr>
      <w:suppressAutoHyphens w:val="true"/>
      <w:spacing w:lineRule="exact" w:line="240"/>
      <w:jc w:val="center"/>
    </w:pPr>
    <w:rPr>
      <w:rFonts w:ascii="Arial" w:hAnsi="Arial" w:cs="Arial"/>
      <w:sz w:val="22"/>
    </w:rPr>
  </w:style>
  <w:style w:type="paragraph" w:styleId="Level1">
    <w:name w:val="Level 1"/>
    <w:basedOn w:val="Normal"/>
    <w:next w:val="Level1Sub"/>
    <w:qFormat/>
    <w:pPr>
      <w:suppressAutoHyphens w:val="true"/>
      <w:spacing w:lineRule="exact" w:line="240" w:before="0" w:after="240"/>
      <w:ind w:hanging="432" w:start="432" w:end="0"/>
    </w:pPr>
    <w:rPr>
      <w:rFonts w:ascii="Arial" w:hAnsi="Arial" w:cs="Arial"/>
      <w:sz w:val="22"/>
    </w:rPr>
  </w:style>
  <w:style w:type="paragraph" w:styleId="RuleTitle">
    <w:name w:val="Rule Title"/>
    <w:basedOn w:val="Normal"/>
    <w:qFormat/>
    <w:pPr>
      <w:suppressAutoHyphens w:val="true"/>
      <w:spacing w:lineRule="exact" w:line="240" w:before="0" w:after="240"/>
      <w:jc w:val="center"/>
    </w:pPr>
    <w:rPr>
      <w:rFonts w:ascii="Arial" w:hAnsi="Arial" w:cs="Arial"/>
      <w:sz w:val="22"/>
      <w:u w:val="single"/>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LetterDate">
    <w:name w:val="Letter Date"/>
    <w:basedOn w:val="Normal"/>
    <w:next w:val="BodyText"/>
    <w:qFormat/>
    <w:pPr>
      <w:overflowPunct w:val="true"/>
      <w:autoSpaceDE w:val="true"/>
      <w:textAlignment w:val="auto"/>
    </w:pPr>
    <w:rPr>
      <w:sz w:val="24"/>
    </w:rPr>
  </w:style>
  <w:style w:type="paragraph" w:styleId="Address">
    <w:name w:val="Address"/>
    <w:basedOn w:val="Normal"/>
    <w:qFormat/>
    <w:pPr>
      <w:overflowPunct w:val="true"/>
      <w:autoSpaceDE w:val="true"/>
      <w:textAlignment w:val="auto"/>
    </w:pPr>
    <w:rPr>
      <w:sz w:val="24"/>
    </w:rPr>
  </w:style>
  <w:style w:type="paragraph" w:styleId="LetterSignature">
    <w:name w:val="Letter Signature"/>
    <w:basedOn w:val="Normal"/>
    <w:qFormat/>
    <w:pPr>
      <w:keepNext w:val="true"/>
      <w:keepLines/>
      <w:overflowPunct w:val="true"/>
      <w:autoSpaceDE w:val="true"/>
      <w:ind w:hanging="0" w:start="5760" w:end="0"/>
      <w:jc w:val="center"/>
      <w:textAlignment w:val="auto"/>
    </w:pPr>
    <w:rPr>
      <w:sz w:val="24"/>
    </w:rPr>
  </w:style>
  <w:style w:type="paragraph" w:styleId="ReLine">
    <w:name w:val="ReLine"/>
    <w:basedOn w:val="Normal"/>
    <w:next w:val="Normal"/>
    <w:qFormat/>
    <w:pPr>
      <w:overflowPunct w:val="true"/>
      <w:autoSpaceDE w:val="true"/>
      <w:spacing w:before="240" w:after="0"/>
      <w:ind w:hanging="720" w:start="1440" w:end="0"/>
      <w:textAlignment w:val="auto"/>
    </w:pPr>
    <w:rPr>
      <w:sz w:val="24"/>
    </w:rPr>
  </w:style>
  <w:style w:type="paragraph" w:styleId="Salutation">
    <w:name w:val="Salutation"/>
    <w:basedOn w:val="Normal"/>
    <w:next w:val="BodyText"/>
    <w:qFormat/>
    <w:pPr>
      <w:overflowPunct w:val="true"/>
      <w:autoSpaceDE w:val="true"/>
      <w:spacing w:before="240" w:after="240"/>
      <w:textAlignment w:val="auto"/>
    </w:pPr>
    <w:rPr>
      <w:sz w:val="24"/>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2001-10-24T19:53:00Z</dcterms:created>
  <dc:creator>Arter &amp; Hadden</dc:creator>
  <dc:description/>
  <dc:language>en-CA</dc:language>
  <cp:lastModifiedBy>Daniel W. Douglass</cp:lastModifiedBy>
  <cp:lastPrinted>2001-10-24T15:48:00Z</cp:lastPrinted>
  <dcterms:modified xsi:type="dcterms:W3CDTF">2001-10-24T20:18:00Z</dcterms:modified>
  <cp:revision>8</cp:revision>
  <dc:subject/>
  <dc:title>ì¥Á Y 	    ¿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