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Exhibit “B”</w:t>
      </w:r>
    </w:p>
    <w:p>
      <w:pPr>
        <w:pStyle w:val="Normal"/>
        <w:jc w:val="center"/>
        <w:rPr>
          <w:sz w:val="22"/>
        </w:rPr>
      </w:pPr>
      <w:r>
        <w:rPr>
          <w:sz w:val="22"/>
        </w:rPr>
        <w:t>to the</w:t>
      </w:r>
    </w:p>
    <w:p>
      <w:pPr>
        <w:pStyle w:val="Normal"/>
        <w:jc w:val="center"/>
        <w:rPr>
          <w:sz w:val="22"/>
        </w:rPr>
      </w:pPr>
      <w:r>
        <w:rPr>
          <w:sz w:val="22"/>
        </w:rPr>
        <w:t>ENERGY MARKETING SERVICES AGREEMENT</w:t>
      </w:r>
    </w:p>
    <w:p>
      <w:pPr>
        <w:pStyle w:val="Normal"/>
        <w:jc w:val="center"/>
        <w:rPr>
          <w:sz w:val="22"/>
        </w:rPr>
      </w:pPr>
      <w:r>
        <w:rPr>
          <w:sz w:val="22"/>
        </w:rPr>
      </w:r>
    </w:p>
    <w:p>
      <w:pPr>
        <w:pStyle w:val="OutlineL2"/>
        <w:numPr>
          <w:ilvl w:val="0"/>
          <w:numId w:val="0"/>
        </w:numPr>
        <w:ind w:hanging="0" w:start="0"/>
        <w:jc w:val="center"/>
        <w:rPr>
          <w:b/>
          <w:spacing w:val="2"/>
          <w:sz w:val="22"/>
        </w:rPr>
      </w:pPr>
      <w:r>
        <w:rPr>
          <w:sz w:val="22"/>
        </w:rPr>
        <w:t>CREDIT SUPPORT ANNEX</w:t>
      </w:r>
    </w:p>
    <w:p>
      <w:pPr>
        <w:pStyle w:val="Normal"/>
        <w:ind w:start="-360" w:end="-540"/>
        <w:jc w:val="both"/>
        <w:rPr/>
      </w:pPr>
      <w:r>
        <w:rPr>
          <w:spacing w:val="2"/>
          <w:sz w:val="22"/>
        </w:rPr>
        <w:tab/>
        <w:t xml:space="preserve">This Credit Support Annex supplements, forms part of, and is subject to that certain </w:t>
      </w:r>
      <w:r>
        <w:rPr>
          <w:sz w:val="22"/>
        </w:rPr>
        <w:t xml:space="preserve">Energy Marketing </w:t>
      </w:r>
      <w:r>
        <w:rPr>
          <w:spacing w:val="2"/>
          <w:sz w:val="22"/>
        </w:rPr>
        <w:t>Service Agreement dated as of ________ ___, 200_ (the “Base Document”), between Enron Power Marketing, Inc., a Delaware corporation (“Party A”) and ________________, a _________________ (“Party B” and, together with Party A individually a “Party” and collectively the “Parties”).</w:t>
      </w:r>
    </w:p>
    <w:p>
      <w:pPr>
        <w:pStyle w:val="Normal"/>
        <w:ind w:start="-360" w:end="-540"/>
        <w:jc w:val="both"/>
        <w:rPr>
          <w:spacing w:val="2"/>
          <w:sz w:val="22"/>
        </w:rPr>
      </w:pPr>
      <w:r>
        <w:rPr>
          <w:spacing w:val="2"/>
          <w:sz w:val="22"/>
        </w:rPr>
      </w:r>
    </w:p>
    <w:p>
      <w:pPr>
        <w:pStyle w:val="Normal"/>
        <w:ind w:start="-360" w:end="-540"/>
        <w:jc w:val="both"/>
        <w:rPr/>
      </w:pPr>
      <w:r>
        <w:rPr>
          <w:spacing w:val="2"/>
          <w:sz w:val="22"/>
        </w:rPr>
        <w:t>1.</w:t>
        <w:tab/>
      </w:r>
      <w:r>
        <w:rPr>
          <w:spacing w:val="2"/>
          <w:sz w:val="22"/>
          <w:u w:val="single"/>
        </w:rPr>
        <w:t>Definitions and Interpretations</w:t>
      </w:r>
      <w:r>
        <w:rPr>
          <w:spacing w:val="2"/>
          <w:sz w:val="22"/>
        </w:rPr>
        <w:t>.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Agreement</w:t>
      </w:r>
      <w:r>
        <w:rPr>
          <w:spacing w:val="2"/>
          <w:sz w:val="22"/>
        </w:rPr>
        <w:t>” has the meaning specified in the Base Document.</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Aggregate Exposure Amount</w:t>
      </w:r>
      <w:r>
        <w:rPr>
          <w:spacing w:val="2"/>
          <w:sz w:val="22"/>
        </w:rPr>
        <w:t>” with respect to a Party at any time means the sum of the Long Term Performance Amount of such Party at such time and the Net Near Term Payable Amount of such Party at such time.</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Collateral Threshold Amount</w:t>
      </w:r>
      <w:r>
        <w:rPr>
          <w:spacing w:val="2"/>
          <w:sz w:val="22"/>
        </w:rPr>
        <w:t>” means:</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(a)  $__________ with respect to Party A; and</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(b)  $__________ with respect to Party B;</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provided however, that upon the occurrence of an Event of Default or Material Adverse Change with respect to a Party the Collateral Threshold Amount for such Party shall be zero.</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Credit Eligible Support Document</w:t>
      </w:r>
      <w:r>
        <w:rPr>
          <w:spacing w:val="2"/>
          <w:sz w:val="22"/>
        </w:rPr>
        <w:t>”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Credit Eligible Support Provider</w:t>
      </w:r>
      <w:r>
        <w:rPr>
          <w:spacing w:val="2"/>
          <w:sz w:val="22"/>
        </w:rPr>
        <w:t>”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Delivery Amount</w:t>
      </w:r>
      <w:r>
        <w:rPr>
          <w:spacing w:val="2"/>
          <w:sz w:val="22"/>
        </w:rPr>
        <w:t>” is defined in Paragraph 3.</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Eligible Collateral</w:t>
      </w:r>
      <w:r>
        <w:rPr>
          <w:spacing w:val="2"/>
          <w:sz w:val="22"/>
        </w:rPr>
        <w:t xml:space="preserve">” means </w:t>
      </w:r>
    </w:p>
    <w:p>
      <w:pPr>
        <w:pStyle w:val="Normal"/>
        <w:ind w:start="-360" w:end="-540"/>
        <w:jc w:val="both"/>
        <w:rPr>
          <w:spacing w:val="2"/>
          <w:sz w:val="22"/>
        </w:rPr>
      </w:pPr>
      <w:r>
        <w:rPr>
          <w:spacing w:val="2"/>
          <w:sz w:val="22"/>
        </w:rPr>
      </w:r>
    </w:p>
    <w:p>
      <w:pPr>
        <w:pStyle w:val="Normal"/>
        <w:numPr>
          <w:ilvl w:val="0"/>
          <w:numId w:val="4"/>
        </w:numPr>
        <w:ind w:hanging="0" w:start="-360" w:end="-540"/>
        <w:jc w:val="both"/>
        <w:rPr>
          <w:spacing w:val="2"/>
          <w:sz w:val="22"/>
        </w:rPr>
      </w:pPr>
      <w:r>
        <w:rPr>
          <w:spacing w:val="2"/>
          <w:sz w:val="22"/>
        </w:rPr>
        <w:t>immediately available United States dollars;</w:t>
      </w:r>
    </w:p>
    <w:p>
      <w:pPr>
        <w:pStyle w:val="Normal"/>
        <w:ind w:start="-360" w:end="-540"/>
        <w:jc w:val="both"/>
        <w:rPr>
          <w:spacing w:val="2"/>
          <w:sz w:val="22"/>
        </w:rPr>
      </w:pPr>
      <w:r>
        <w:rPr>
          <w:spacing w:val="2"/>
          <w:sz w:val="22"/>
        </w:rPr>
      </w:r>
    </w:p>
    <w:p>
      <w:pPr>
        <w:pStyle w:val="Normal"/>
        <w:numPr>
          <w:ilvl w:val="0"/>
          <w:numId w:val="4"/>
        </w:numPr>
        <w:ind w:hanging="0" w:start="-360" w:end="-540"/>
        <w:jc w:val="both"/>
        <w:rPr>
          <w:spacing w:val="2"/>
          <w:sz w:val="22"/>
        </w:rPr>
      </w:pPr>
      <w:r>
        <w:rPr>
          <w:spacing w:val="2"/>
          <w:sz w:val="22"/>
        </w:rPr>
        <w:t>Eligible Letters of Credit; and</w:t>
      </w:r>
    </w:p>
    <w:p>
      <w:pPr>
        <w:pStyle w:val="Normal"/>
        <w:ind w:start="-360" w:end="-540"/>
        <w:jc w:val="both"/>
        <w:rPr>
          <w:spacing w:val="2"/>
          <w:sz w:val="22"/>
        </w:rPr>
      </w:pPr>
      <w:r>
        <w:rPr>
          <w:spacing w:val="2"/>
          <w:sz w:val="22"/>
        </w:rPr>
      </w:r>
    </w:p>
    <w:p>
      <w:pPr>
        <w:pStyle w:val="Normal"/>
        <w:numPr>
          <w:ilvl w:val="0"/>
          <w:numId w:val="4"/>
        </w:numPr>
        <w:ind w:hanging="0" w:start="-360" w:end="-540"/>
        <w:jc w:val="both"/>
        <w:rPr>
          <w:spacing w:val="2"/>
          <w:sz w:val="22"/>
        </w:rPr>
      </w:pPr>
      <w:r>
        <w:rPr>
          <w:spacing w:val="2"/>
          <w:sz w:val="22"/>
        </w:rPr>
        <w:t>such other collateral as may be acceptable to Secured Party as evidenced by Secured Party’s written acknowledgment at the time of posting of such collateral.</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ind w:start="-360" w:end="-540"/>
        <w:jc w:val="both"/>
        <w:rPr>
          <w:spacing w:val="2"/>
          <w:sz w:val="22"/>
        </w:rPr>
      </w:pPr>
      <w:r>
        <w:rPr>
          <w:spacing w:val="2"/>
          <w:sz w:val="22"/>
        </w:rPr>
      </w:r>
    </w:p>
    <w:p>
      <w:pPr>
        <w:pStyle w:val="Normal"/>
        <w:ind w:start="-360" w:end="-540"/>
        <w:jc w:val="both"/>
        <w:rPr/>
      </w:pPr>
      <w:r>
        <w:rPr>
          <w:spacing w:val="2"/>
          <w:sz w:val="22"/>
        </w:rPr>
        <w:t>“</w:t>
      </w:r>
      <w:r>
        <w:rPr>
          <w:spacing w:val="2"/>
          <w:sz w:val="22"/>
          <w:u w:val="single"/>
        </w:rPr>
        <w:t>Eligible Letter of Credit</w:t>
      </w:r>
      <w:r>
        <w:rPr>
          <w:spacing w:val="2"/>
          <w:sz w:val="22"/>
        </w:rPr>
        <w:t>”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Guarantor</w:t>
      </w:r>
      <w:r>
        <w:rPr>
          <w:spacing w:val="2"/>
          <w:sz w:val="22"/>
        </w:rPr>
        <w:t>” means,</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(a)  Enron Corp. with respect to Party A; and</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(b)  _________________ with respect to Party B.</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Guaranty</w:t>
      </w:r>
      <w:r>
        <w:rPr>
          <w:spacing w:val="2"/>
          <w:sz w:val="22"/>
        </w:rPr>
        <w:t>” means a guaranty in a form acceptable to the receiving Party, with such guaranty issued by Party A’s Guarantor to be capped in the amount of ___________ Dollars (US$_____________), and such guaranty issued by Party B’s Guarantor to be capped in the amount of _______________ Dollars (US $____________).</w:t>
      </w:r>
    </w:p>
    <w:p>
      <w:pPr>
        <w:pStyle w:val="Normal"/>
        <w:ind w:start="-360" w:end="-540"/>
        <w:jc w:val="both"/>
        <w:rPr>
          <w:spacing w:val="2"/>
          <w:sz w:val="22"/>
        </w:rPr>
      </w:pPr>
      <w:r>
        <w:rPr>
          <w:spacing w:val="2"/>
          <w:sz w:val="22"/>
        </w:rPr>
      </w:r>
    </w:p>
    <w:p>
      <w:pPr>
        <w:pStyle w:val="Normal"/>
        <w:ind w:start="-360" w:end="-540"/>
        <w:jc w:val="both"/>
        <w:rPr/>
      </w:pPr>
      <w:r>
        <w:rPr>
          <w:spacing w:val="2"/>
          <w:sz w:val="22"/>
        </w:rPr>
        <w:t>"</w:t>
      </w:r>
      <w:r>
        <w:rPr>
          <w:spacing w:val="2"/>
          <w:sz w:val="22"/>
          <w:u w:val="single"/>
        </w:rPr>
        <w:t>GAAP</w:t>
      </w:r>
      <w:r>
        <w:rPr>
          <w:spacing w:val="2"/>
          <w:sz w:val="22"/>
        </w:rPr>
        <w:t>" means generally accepted accounting principles, consistently applied.</w:t>
      </w:r>
    </w:p>
    <w:p>
      <w:pPr>
        <w:pStyle w:val="Normal"/>
        <w:ind w:start="-360" w:end="-540"/>
        <w:jc w:val="both"/>
        <w:rPr>
          <w:spacing w:val="2"/>
          <w:sz w:val="22"/>
        </w:rPr>
      </w:pPr>
      <w:r>
        <w:rPr>
          <w:spacing w:val="2"/>
          <w:sz w:val="22"/>
        </w:rPr>
      </w:r>
    </w:p>
    <w:p>
      <w:pPr>
        <w:pStyle w:val="Normal"/>
        <w:ind w:start="-360" w:end="-540"/>
        <w:jc w:val="both"/>
        <w:rPr/>
      </w:pPr>
      <w:r>
        <w:rPr>
          <w:spacing w:val="2"/>
          <w:sz w:val="22"/>
        </w:rPr>
        <w:t>“</w:t>
      </w:r>
      <w:r>
        <w:rPr>
          <w:spacing w:val="2"/>
          <w:sz w:val="22"/>
          <w:u w:val="single"/>
        </w:rPr>
        <w:t>Long Term Performance Amount</w:t>
      </w:r>
      <w:r>
        <w:rPr>
          <w:spacing w:val="2"/>
          <w:sz w:val="22"/>
        </w:rPr>
        <w:t>” with respect to a Party, on any date means the Settlement Payment, if any, that would be owing to such Party on such date under Article 4.4(c), assuming the Party were the Non-Defaulting Party and the Early Termination Date was such date.</w:t>
      </w:r>
    </w:p>
    <w:p>
      <w:pPr>
        <w:pStyle w:val="Normal"/>
        <w:ind w:start="-360" w:end="-540"/>
        <w:jc w:val="both"/>
        <w:rPr>
          <w:spacing w:val="2"/>
          <w:sz w:val="22"/>
        </w:rPr>
      </w:pPr>
      <w:r>
        <w:rPr>
          <w:spacing w:val="2"/>
          <w:sz w:val="22"/>
        </w:rPr>
      </w:r>
    </w:p>
    <w:p>
      <w:pPr>
        <w:pStyle w:val="Normal"/>
        <w:ind w:start="-360" w:end="-540"/>
        <w:jc w:val="both"/>
        <w:rPr/>
      </w:pPr>
      <w:r>
        <w:rPr>
          <w:spacing w:val="2"/>
          <w:sz w:val="22"/>
        </w:rPr>
        <w:t>“</w:t>
      </w:r>
      <w:r>
        <w:rPr>
          <w:spacing w:val="2"/>
          <w:sz w:val="22"/>
          <w:u w:val="single"/>
        </w:rPr>
        <w:t>Material Adverse Change</w:t>
      </w:r>
      <w:r>
        <w:rPr>
          <w:spacing w:val="2"/>
          <w:sz w:val="22"/>
        </w:rPr>
        <w:t xml:space="preserve">” means, </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(a)  with respect to Party A, (check as applicable)</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[____]</w:t>
        <w:tab/>
        <w:t>that Party A’s Guarantor shall have senior unsecured long-term debt unsupported by third party credit enhancement that is rated by S&amp;P below “BBB-“ or its equivalent or by Moody’s below “Baa3” or its equivalent; or if Party A’s Guarantor is not by either S&amp;P or Moody’s.</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[____]</w:t>
        <w:tab/>
        <w:t xml:space="preserve">(other) </w:t>
        <w:tab/>
        <w:tab/>
        <w:tab/>
        <w:tab/>
        <w:tab/>
        <w:tab/>
        <w:tab/>
        <w:tab/>
        <w:tab/>
        <w:tab/>
        <w:tab/>
        <w:tab/>
        <w:tab/>
        <w:tab/>
        <w:tab/>
        <w:tab/>
        <w:tab/>
        <w:tab/>
        <w:tab/>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ab/>
        <w:t>(b)  with respect to Party B, (check as applicable).</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[____]</w:t>
        <w:tab/>
        <w:t>that Party B’s Guarantor shall have any of the following occur at any time:  (a) its Net Worth falls below $300,000,000; or (b) its Minimum Liquidity falls below $100,000,000.  "Net Worth" means, with respect to the specified entity, such entity's total assets (exclusive of intangible assets), minus such entity's total liabilities, each as would be reflected on a balance sheet of the specified entity prepared in accordance with GAAP.  "GAAP" means generally accepted accounting principles, consistently applied.  "Minimum Liquidity" means, with respect to the specified entity, on a consolidated basis, such entity’s unencumbered Cash plus Marketable Securities, less such entity’s debt, face value of surety bonds and letters of credit issued by it or on its behalf, and the dollar amount of obligations claimable against guarantees issued by such entity.  "Cash" means all amounts that would be reflected as such on a consolidated balance sheet of the specified entity prepared in accordance with GAAP.  "Marketable Securities" means securities for which sales prices or bid and ask prices are readily available from a national securities exchange or in the over-the-counter market, including, but not limited to, government securities, banker’s acceptances and commercial paper.</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[____]</w:t>
        <w:tab/>
        <w:t xml:space="preserve">(other) </w:t>
        <w:tab/>
        <w:tab/>
        <w:tab/>
        <w:tab/>
        <w:tab/>
        <w:tab/>
        <w:tab/>
        <w:tab/>
        <w:tab/>
        <w:tab/>
        <w:tab/>
        <w:tab/>
        <w:tab/>
        <w:tab/>
        <w:tab/>
        <w:tab/>
        <w:tab/>
        <w:tab/>
        <w:tab/>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Minimum Transfer Amount</w:t>
      </w:r>
      <w:r>
        <w:rPr>
          <w:spacing w:val="2"/>
          <w:sz w:val="22"/>
        </w:rPr>
        <w:t>” means $zero.</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Near Term Payable Amount</w:t>
      </w:r>
      <w:r>
        <w:rPr>
          <w:spacing w:val="2"/>
          <w:sz w:val="22"/>
        </w:rPr>
        <w:t>” with respect to a Party, at any time, means the amount, as estimated by such Party in a commercially reasonable manner, that will be payable to such Party (whether invoiced or not) under the terms of this Agreement during the immediately following 45 day period.</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Net Near Term Payable Amount</w:t>
      </w:r>
      <w:r>
        <w:rPr>
          <w:spacing w:val="2"/>
          <w:sz w:val="22"/>
        </w:rPr>
        <w:t>” with respect to a Party at any time means the greater of (i) zero and (ii) the amount equal to (a) the Near Term Payable Amount of such Party at such time minus (b) the Near Term Payable Amount of the other Party at such time.</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Obligations</w:t>
      </w:r>
      <w:r>
        <w:rPr>
          <w:spacing w:val="2"/>
          <w:sz w:val="22"/>
        </w:rPr>
        <w:t>” of a Party means all present and future obligations of such Party under the Agreement.</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Posted Collateral</w:t>
      </w:r>
      <w:r>
        <w:rPr>
          <w:spacing w:val="2"/>
          <w:sz w:val="22"/>
        </w:rPr>
        <w:t>” is defined in Paragraph 4.</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Posting Party</w:t>
      </w:r>
      <w:r>
        <w:rPr>
          <w:spacing w:val="2"/>
          <w:sz w:val="22"/>
        </w:rPr>
        <w:t xml:space="preserve">” is defined in Paragraph 3. It is possible for either Party to be a Posting Party at some times and a Secured Party at other times.  “Posting Party” shall mean the Party required to deliver Eligible Collateral and “Secured Party” shall mean the Party entitled to receive Eligible Collateral pursuant to Paragraph 3 as the context requires.  </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Return Amount</w:t>
      </w:r>
      <w:r>
        <w:rPr>
          <w:spacing w:val="2"/>
          <w:sz w:val="22"/>
        </w:rPr>
        <w:t>” is defined in Paragraph 3.</w:t>
      </w:r>
    </w:p>
    <w:p>
      <w:pPr>
        <w:pStyle w:val="Normal"/>
        <w:ind w:start="-360" w:end="-540"/>
        <w:jc w:val="both"/>
        <w:rPr>
          <w:spacing w:val="2"/>
          <w:sz w:val="22"/>
        </w:rPr>
      </w:pPr>
      <w:r>
        <w:rPr>
          <w:spacing w:val="2"/>
          <w:sz w:val="22"/>
        </w:rPr>
      </w:r>
    </w:p>
    <w:p>
      <w:pPr>
        <w:pStyle w:val="Normal"/>
        <w:ind w:start="-360" w:end="-540"/>
        <w:jc w:val="both"/>
        <w:rPr/>
      </w:pPr>
      <w:r>
        <w:rPr>
          <w:spacing w:val="2"/>
          <w:sz w:val="22"/>
        </w:rPr>
        <w:tab/>
        <w:t>“</w:t>
      </w:r>
      <w:r>
        <w:rPr>
          <w:spacing w:val="2"/>
          <w:sz w:val="22"/>
          <w:u w:val="single"/>
        </w:rPr>
        <w:t>Secured Party</w:t>
      </w:r>
      <w:r>
        <w:rPr>
          <w:spacing w:val="2"/>
          <w:sz w:val="22"/>
        </w:rPr>
        <w:t>” is defined in Paragraph 3.</w:t>
      </w:r>
    </w:p>
    <w:p>
      <w:pPr>
        <w:pStyle w:val="Normal"/>
        <w:ind w:start="-360" w:end="-540"/>
        <w:jc w:val="both"/>
        <w:rPr>
          <w:spacing w:val="2"/>
          <w:sz w:val="22"/>
        </w:rPr>
      </w:pPr>
      <w:r>
        <w:rPr>
          <w:spacing w:val="2"/>
          <w:sz w:val="22"/>
        </w:rPr>
      </w:r>
    </w:p>
    <w:p>
      <w:pPr>
        <w:pStyle w:val="Normal"/>
        <w:ind w:start="-360" w:end="-540"/>
        <w:jc w:val="both"/>
        <w:rPr/>
      </w:pPr>
      <w:r>
        <w:rPr>
          <w:spacing w:val="2"/>
          <w:sz w:val="22"/>
        </w:rPr>
        <w:t>2.</w:t>
        <w:tab/>
      </w:r>
      <w:r>
        <w:rPr>
          <w:spacing w:val="2"/>
          <w:sz w:val="22"/>
          <w:u w:val="single"/>
        </w:rPr>
        <w:t>Guaranty</w:t>
      </w:r>
      <w:r>
        <w:rPr>
          <w:spacing w:val="2"/>
          <w:sz w:val="22"/>
        </w:rPr>
        <w:t>.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ind w:start="-360" w:end="-540"/>
        <w:jc w:val="both"/>
        <w:rPr>
          <w:spacing w:val="2"/>
          <w:sz w:val="22"/>
        </w:rPr>
      </w:pPr>
      <w:r>
        <w:rPr>
          <w:spacing w:val="2"/>
          <w:sz w:val="22"/>
        </w:rPr>
      </w:r>
    </w:p>
    <w:p>
      <w:pPr>
        <w:pStyle w:val="Normal"/>
        <w:ind w:start="-360" w:end="-540"/>
        <w:jc w:val="both"/>
        <w:rPr/>
      </w:pPr>
      <w:r>
        <w:rPr>
          <w:spacing w:val="2"/>
          <w:sz w:val="22"/>
        </w:rPr>
        <w:t>3.</w:t>
        <w:tab/>
      </w:r>
      <w:r>
        <w:rPr>
          <w:spacing w:val="2"/>
          <w:sz w:val="22"/>
          <w:u w:val="single"/>
        </w:rPr>
        <w:t>Collateral Requirement</w:t>
      </w:r>
      <w:r>
        <w:rPr>
          <w:spacing w:val="2"/>
          <w:sz w:val="22"/>
        </w:rPr>
        <w:t xml:space="preserve">.  </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[____]</w:t>
        <w:tab/>
        <w:t>If at any time the Aggregate Exposure Amount of a Party (the “Secured Party”) is greater than the Collateral Threshold Amount of the other Party (the “Posting Party”), then, within two (2) Business Days of written request by the Secured Party, the Posting Party shall deliver to the Secured Party Eligible Collateral with an aggregate value, subject to Paragraph 5 (the “Delivery Amount”), such that the Collateral Threshold Amount of the Posting Party is greater than or equal to (i) the Aggregate Exposure Amount of the Secured Party at such time minus (ii) the aggregate value of such Eligible Collateral.  If at any time, the aggregate value of Eligible Collateral held by the Secured Party exceeds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Paragraph 5 (the “Return Amount”), such that such excess is eliminated.   The Secured Party shall pay interest on cash collateral during the time such cash is held at the Overnight Federal Fund rate as published in the Wall Street Journal.</w:t>
      </w:r>
    </w:p>
    <w:p>
      <w:pPr>
        <w:pStyle w:val="Normal"/>
        <w:ind w:start="-360" w:end="-540"/>
        <w:jc w:val="both"/>
        <w:rPr>
          <w:spacing w:val="2"/>
          <w:sz w:val="22"/>
        </w:rPr>
      </w:pPr>
      <w:r>
        <w:rPr>
          <w:spacing w:val="2"/>
          <w:sz w:val="22"/>
        </w:rPr>
      </w:r>
    </w:p>
    <w:p>
      <w:pPr>
        <w:pStyle w:val="Normal"/>
        <w:ind w:start="-360" w:end="-540"/>
        <w:jc w:val="both"/>
        <w:rPr>
          <w:spacing w:val="2"/>
          <w:sz w:val="22"/>
        </w:rPr>
      </w:pPr>
      <w:r>
        <w:rPr>
          <w:spacing w:val="2"/>
          <w:sz w:val="22"/>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p>
    <w:p>
      <w:pPr>
        <w:pStyle w:val="Normal"/>
        <w:ind w:start="-360" w:end="-540"/>
        <w:jc w:val="both"/>
        <w:rPr>
          <w:spacing w:val="2"/>
          <w:sz w:val="22"/>
        </w:rPr>
      </w:pPr>
      <w:r>
        <w:rPr>
          <w:spacing w:val="2"/>
          <w:sz w:val="22"/>
        </w:rPr>
      </w:r>
    </w:p>
    <w:p>
      <w:pPr>
        <w:pStyle w:val="Normal"/>
        <w:ind w:start="-360" w:end="-540"/>
        <w:jc w:val="both"/>
        <w:rPr/>
      </w:pPr>
      <w:r>
        <w:rPr>
          <w:spacing w:val="2"/>
          <w:sz w:val="22"/>
        </w:rPr>
        <w:t>4.</w:t>
        <w:tab/>
      </w:r>
      <w:r>
        <w:rPr>
          <w:spacing w:val="2"/>
          <w:sz w:val="22"/>
          <w:u w:val="single"/>
        </w:rPr>
        <w:t>Security Interest</w:t>
      </w:r>
      <w:r>
        <w:rPr>
          <w:spacing w:val="2"/>
          <w:sz w:val="22"/>
        </w:rPr>
        <w:t>. Each Party, as Posting Party, hereby grants the other Party, as Secured Party, a first priority, continuing security interest in, lien on and right of set-off against all items delivered to or received by such Secured Party pursuant to Paragraph 3, including all distributions and proceeds received by Secured Party in respect thereof (collectively, the “Posted Collateral”).  Upon the return of any Posted Collateral to the Posting Party pursuant to Paragraph 3, the security interest in, lien on and right of set-off against such Posted Collateral in favor of Secured Party shall be released and terminate without any further action by any Party.</w:t>
      </w:r>
    </w:p>
    <w:p>
      <w:pPr>
        <w:pStyle w:val="Normal"/>
        <w:ind w:start="-360" w:end="-540"/>
        <w:jc w:val="both"/>
        <w:rPr>
          <w:spacing w:val="2"/>
          <w:sz w:val="22"/>
        </w:rPr>
      </w:pPr>
      <w:r>
        <w:rPr>
          <w:spacing w:val="2"/>
          <w:sz w:val="22"/>
        </w:rPr>
      </w:r>
    </w:p>
    <w:p>
      <w:pPr>
        <w:pStyle w:val="Normal"/>
        <w:ind w:start="-360" w:end="-540"/>
        <w:jc w:val="both"/>
        <w:rPr/>
      </w:pPr>
      <w:r>
        <w:rPr>
          <w:spacing w:val="2"/>
          <w:sz w:val="22"/>
        </w:rPr>
        <w:t>5.</w:t>
        <w:tab/>
      </w:r>
      <w:r>
        <w:rPr>
          <w:spacing w:val="2"/>
          <w:sz w:val="22"/>
          <w:u w:val="single"/>
        </w:rPr>
        <w:t>Rounding Convention</w:t>
      </w:r>
      <w:r>
        <w:rPr>
          <w:spacing w:val="2"/>
          <w:sz w:val="22"/>
        </w:rPr>
        <w:t>.  The amount of Eligible Collateral that is required to be delivered or maintained pursuant to Paragraph 3 of this Credit Support Annex shall be rounded upwards to the next integer multiple of the Minimum Transfer Amount and the amount of Eligible Collateral that is required to be returned pursuant to $250,000.00 shall be rounded downwards to the next $250,000.00.</w:t>
      </w:r>
    </w:p>
    <w:p>
      <w:pPr>
        <w:pStyle w:val="Normal"/>
        <w:ind w:start="-360" w:end="-540"/>
        <w:jc w:val="both"/>
        <w:rPr>
          <w:spacing w:val="2"/>
          <w:sz w:val="22"/>
        </w:rPr>
      </w:pPr>
      <w:r>
        <w:rPr>
          <w:spacing w:val="2"/>
          <w:sz w:val="22"/>
        </w:rPr>
      </w:r>
    </w:p>
    <w:p>
      <w:pPr>
        <w:pStyle w:val="Normal"/>
        <w:ind w:start="-360" w:end="-540"/>
        <w:jc w:val="both"/>
        <w:rPr/>
      </w:pPr>
      <w:r>
        <w:rPr>
          <w:spacing w:val="2"/>
          <w:sz w:val="22"/>
        </w:rPr>
        <w:t>6.</w:t>
        <w:tab/>
      </w:r>
      <w:r>
        <w:rPr>
          <w:spacing w:val="2"/>
          <w:sz w:val="22"/>
          <w:u w:val="single"/>
        </w:rPr>
        <w:t>Care of Posted Collateral</w:t>
      </w:r>
      <w:r>
        <w:rPr>
          <w:spacing w:val="2"/>
          <w:sz w:val="22"/>
        </w:rPr>
        <w:t xml:space="preserve">.  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ind w:start="-360" w:end="-540"/>
        <w:jc w:val="both"/>
        <w:rPr>
          <w:spacing w:val="2"/>
          <w:sz w:val="22"/>
        </w:rPr>
      </w:pPr>
      <w:r>
        <w:rPr>
          <w:spacing w:val="2"/>
          <w:sz w:val="22"/>
        </w:rPr>
      </w:r>
    </w:p>
    <w:p>
      <w:pPr>
        <w:pStyle w:val="Normal"/>
        <w:ind w:start="-360" w:end="-540"/>
        <w:jc w:val="both"/>
        <w:rPr/>
      </w:pPr>
      <w:r>
        <w:rPr>
          <w:spacing w:val="2"/>
          <w:sz w:val="22"/>
        </w:rPr>
        <w:t xml:space="preserve">7.  </w:t>
      </w:r>
      <w:r>
        <w:rPr>
          <w:spacing w:val="2"/>
          <w:sz w:val="22"/>
          <w:u w:val="single"/>
        </w:rPr>
        <w:t>Secured Party’s Rights and Remedies</w:t>
      </w:r>
      <w:r>
        <w:rPr>
          <w:spacing w:val="2"/>
          <w:sz w:val="22"/>
        </w:rPr>
        <w:t>.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ind w:start="-360" w:end="-540"/>
        <w:jc w:val="both"/>
        <w:rPr>
          <w:spacing w:val="2"/>
          <w:sz w:val="22"/>
        </w:rPr>
      </w:pPr>
      <w:r>
        <w:rPr>
          <w:spacing w:val="2"/>
          <w:sz w:val="22"/>
        </w:rPr>
      </w:r>
    </w:p>
    <w:p>
      <w:pPr>
        <w:pStyle w:val="Normal"/>
        <w:ind w:start="-360" w:end="-540"/>
        <w:jc w:val="both"/>
        <w:rPr/>
      </w:pPr>
      <w:r>
        <w:rPr>
          <w:spacing w:val="2"/>
          <w:sz w:val="22"/>
        </w:rPr>
        <w:t>8.</w:t>
        <w:tab/>
      </w:r>
      <w:r>
        <w:rPr>
          <w:spacing w:val="2"/>
          <w:sz w:val="22"/>
          <w:u w:val="single"/>
        </w:rPr>
        <w:t>Representations</w:t>
      </w:r>
      <w:r>
        <w:rPr>
          <w:spacing w:val="2"/>
          <w:sz w:val="22"/>
        </w:rPr>
        <w:t xml:space="preserve">.  Each Party represents to the other Party (which representations will be deemed to be repeated as of each date on which it, as the Posting Party, transfers Eligible Collateral) that:  </w:t>
      </w:r>
    </w:p>
    <w:p>
      <w:pPr>
        <w:pStyle w:val="Normal"/>
        <w:ind w:start="-360" w:end="-540"/>
        <w:jc w:val="both"/>
        <w:rPr>
          <w:spacing w:val="2"/>
          <w:sz w:val="22"/>
        </w:rPr>
      </w:pPr>
      <w:r>
        <w:rPr>
          <w:spacing w:val="2"/>
          <w:sz w:val="22"/>
        </w:rPr>
      </w:r>
    </w:p>
    <w:p>
      <w:pPr>
        <w:pStyle w:val="Normal"/>
        <w:numPr>
          <w:ilvl w:val="0"/>
          <w:numId w:val="2"/>
        </w:numPr>
        <w:spacing w:before="0" w:after="240"/>
        <w:ind w:hanging="0" w:start="-360" w:end="-540"/>
        <w:jc w:val="both"/>
        <w:rPr>
          <w:spacing w:val="2"/>
          <w:sz w:val="22"/>
        </w:rPr>
      </w:pPr>
      <w:r>
        <w:rPr>
          <w:spacing w:val="2"/>
          <w:sz w:val="22"/>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2"/>
        </w:numPr>
        <w:spacing w:before="0" w:after="240"/>
        <w:ind w:hanging="0" w:start="-360" w:end="-540"/>
        <w:jc w:val="both"/>
        <w:rPr>
          <w:spacing w:val="2"/>
          <w:sz w:val="22"/>
        </w:rPr>
      </w:pPr>
      <w:r>
        <w:rPr>
          <w:spacing w:val="2"/>
          <w:sz w:val="22"/>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2"/>
        </w:numPr>
        <w:spacing w:before="0" w:after="240"/>
        <w:ind w:hanging="0" w:start="-360" w:end="-540"/>
        <w:jc w:val="both"/>
        <w:rPr>
          <w:spacing w:val="2"/>
          <w:sz w:val="22"/>
        </w:rPr>
      </w:pPr>
      <w:r>
        <w:rPr>
          <w:spacing w:val="2"/>
          <w:sz w:val="22"/>
        </w:rPr>
        <w:t>upon the transfer of any Eligible Collateral to the Secured Party under the terms of this Credit Support Annex, the Secured party will have a valid and first priority security interest therein; and</w:t>
      </w:r>
    </w:p>
    <w:p>
      <w:pPr>
        <w:pStyle w:val="Normal"/>
        <w:numPr>
          <w:ilvl w:val="0"/>
          <w:numId w:val="2"/>
        </w:numPr>
        <w:spacing w:before="0" w:after="240"/>
        <w:ind w:hanging="0" w:start="-360" w:end="-540"/>
        <w:jc w:val="both"/>
        <w:rPr>
          <w:spacing w:val="2"/>
          <w:sz w:val="22"/>
        </w:rPr>
      </w:pPr>
      <w:r>
        <w:rPr>
          <w:spacing w:val="2"/>
          <w:sz w:val="22"/>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ind w:start="-360" w:end="-540"/>
        <w:jc w:val="both"/>
        <w:rPr/>
      </w:pPr>
      <w:r>
        <w:rPr>
          <w:spacing w:val="2"/>
          <w:sz w:val="22"/>
        </w:rPr>
        <w:t>9.</w:t>
        <w:tab/>
      </w:r>
      <w:r>
        <w:rPr>
          <w:spacing w:val="2"/>
          <w:sz w:val="22"/>
          <w:u w:val="single"/>
        </w:rPr>
        <w:t>Expenses</w:t>
      </w:r>
      <w:r>
        <w:rPr>
          <w:spacing w:val="2"/>
          <w:sz w:val="22"/>
        </w:rPr>
        <w:t>.  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ind w:start="-360" w:end="-540"/>
        <w:jc w:val="both"/>
        <w:rPr/>
      </w:pPr>
      <w:r>
        <w:rPr>
          <w:spacing w:val="2"/>
          <w:sz w:val="22"/>
        </w:rPr>
        <w:t xml:space="preserve">10.  </w:t>
      </w:r>
      <w:r>
        <w:rPr>
          <w:spacing w:val="2"/>
          <w:sz w:val="22"/>
          <w:u w:val="single"/>
        </w:rPr>
        <w:t>Other Obligations</w:t>
      </w:r>
      <w:r>
        <w:rPr>
          <w:spacing w:val="2"/>
          <w:sz w:val="22"/>
        </w:rPr>
        <w:t xml:space="preserve">. 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p>
    <w:p>
      <w:pPr>
        <w:pStyle w:val="Heading2"/>
        <w:ind w:hanging="0" w:start="-360" w:end="-540"/>
        <w:rPr/>
      </w:pPr>
      <w:r>
        <w:rPr>
          <w:rFonts w:cs="Times New Roman" w:ascii="Times New Roman" w:hAnsi="Times New Roman"/>
          <w:spacing w:val="2"/>
          <w:sz w:val="22"/>
        </w:rPr>
        <w:t xml:space="preserve">11.  </w:t>
      </w:r>
      <w:r>
        <w:rPr>
          <w:rFonts w:cs="Times New Roman" w:ascii="Times New Roman" w:hAnsi="Times New Roman"/>
          <w:spacing w:val="2"/>
          <w:sz w:val="22"/>
          <w:u w:val="single"/>
        </w:rPr>
        <w:t>Financial Information</w:t>
      </w:r>
      <w:r>
        <w:rPr>
          <w:rFonts w:cs="Times New Roman" w:ascii="Times New Roman" w:hAnsi="Times New Roman"/>
          <w:spacing w:val="2"/>
          <w:sz w:val="22"/>
        </w:rPr>
        <w:t>.  If requested by Party B, Party A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Party A, Party B or its Guarantor shall deliver (i) within 120 days following the end of each fiscal year, a copy of the annual report of Party B’s Guarantor containing audited consolidated financial statements for such fiscal year certified by independent certified public accountants and (ii) within 60 days after the end of each of its first three (3) fiscal quarters of each fiscal year, a copy of the quarterly report of Party B’s Guarantor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t>
      </w:r>
    </w:p>
    <w:p>
      <w:pPr>
        <w:pStyle w:val="OutlineL2"/>
        <w:numPr>
          <w:ilvl w:val="0"/>
          <w:numId w:val="0"/>
        </w:numPr>
        <w:spacing w:before="0" w:after="240"/>
        <w:ind w:hanging="0" w:start="-360" w:end="-540"/>
        <w:jc w:val="both"/>
        <w:rPr>
          <w:rFonts w:ascii="Times New Roman" w:hAnsi="Times New Roman" w:cs="Times New Roman"/>
          <w:spacing w:val="2"/>
          <w:sz w:val="22"/>
        </w:rPr>
      </w:pPr>
      <w:r>
        <w:rPr>
          <w:rFonts w:cs="Times New Roman"/>
          <w:spacing w:val="2"/>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lowerLetter"/>
      <w:lvlText w:val="(%1)"/>
      <w:lvlJc w:val="start"/>
      <w:pPr>
        <w:tabs>
          <w:tab w:val="num" w:pos="1830"/>
        </w:tabs>
        <w:ind w:start="1830" w:hanging="39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numPr>
        <w:ilvl w:val="1"/>
        <w:numId w:val="1"/>
      </w:numPr>
      <w:spacing w:before="0" w:after="120"/>
      <w:ind w:firstLine="720" w:start="0" w:end="0"/>
      <w:jc w:val="both"/>
      <w:outlineLvl w:val="1"/>
    </w:pPr>
    <w:rPr>
      <w:rFonts w:ascii="Courier" w:hAnsi="Courier" w:cs="Courier"/>
      <w:sz w:val="26"/>
      <w:szCs w:val="20"/>
    </w:rPr>
  </w:style>
  <w:style w:type="character" w:styleId="WW8Num1z0">
    <w:name w:val="WW8Num1z0"/>
    <w:qFormat/>
    <w:rPr/>
  </w:style>
  <w:style w:type="character" w:styleId="WW8Num2z0">
    <w:name w:val="WW8Num2z0"/>
    <w:qFormat/>
    <w:rPr>
      <w:b w:val="false"/>
      <w:i w:val="false"/>
      <w:caps/>
      <w:strike w:val="false"/>
      <w:dstrike w:val="false"/>
      <w:outline w:val="false"/>
      <w:shadow w:val="false"/>
      <w:vanish w:val="false"/>
      <w:color w:val="auto"/>
      <w:position w:val="0"/>
      <w:sz w:val="24"/>
      <w:u w:val="none"/>
      <w:vertAlign w:val="baseline"/>
    </w:rPr>
  </w:style>
  <w:style w:type="character" w:styleId="WW8Num2z1">
    <w:name w:val="WW8Num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2">
    <w:name w:val="Outline_L2"/>
    <w:basedOn w:val="Normal"/>
    <w:next w:val="Normal"/>
    <w:qFormat/>
    <w:pPr>
      <w:numPr>
        <w:ilvl w:val="0"/>
        <w:numId w:val="3"/>
      </w:numPr>
      <w:spacing w:before="0" w:after="240"/>
      <w:ind w:hanging="720" w:start="1440" w:end="0"/>
      <w:outlineLvl w:val="1"/>
    </w:pPr>
    <w:rPr>
      <w:szCs w:val="20"/>
    </w:rPr>
  </w:style>
  <w:style w:type="paragraph" w:styleId="OutlineL3">
    <w:name w:val="Outline_L3"/>
    <w:basedOn w:val="OutlineL2"/>
    <w:next w:val="Normal"/>
    <w:qFormat/>
    <w:pPr>
      <w:numPr>
        <w:ilvl w:val="0"/>
        <w:numId w:val="3"/>
      </w:numPr>
      <w:tabs>
        <w:tab w:val="clear" w:pos="720"/>
        <w:tab w:val="left" w:pos="360" w:leader="none"/>
      </w:tabs>
      <w:ind w:hanging="1440" w:start="2160" w:end="0"/>
      <w:outlineLvl w:val="2"/>
    </w:pPr>
    <w:rPr/>
  </w:style>
  <w:style w:type="paragraph" w:styleId="OutlineL4">
    <w:name w:val="Outline_L4"/>
    <w:basedOn w:val="OutlineL3"/>
    <w:next w:val="Normal"/>
    <w:qFormat/>
    <w:pPr>
      <w:numPr>
        <w:ilvl w:val="0"/>
        <w:numId w:val="3"/>
      </w:numPr>
      <w:tabs>
        <w:tab w:val="left" w:pos="360" w:leader="none"/>
        <w:tab w:val="left" w:pos="1170" w:leader="none"/>
      </w:tabs>
      <w:ind w:hanging="375" w:start="1170" w:end="0"/>
      <w:outlineLvl w:val="3"/>
    </w:pPr>
    <w:rPr/>
  </w:style>
  <w:style w:type="paragraph" w:styleId="OutlineL5">
    <w:name w:val="Outline_L5"/>
    <w:basedOn w:val="OutlineL4"/>
    <w:next w:val="Normal"/>
    <w:qFormat/>
    <w:pPr>
      <w:numPr>
        <w:ilvl w:val="0"/>
        <w:numId w:val="3"/>
      </w:numPr>
      <w:ind w:hanging="360" w:start="360" w:end="0"/>
      <w:outlineLvl w:val="4"/>
    </w:pPr>
    <w:rPr/>
  </w:style>
  <w:style w:type="paragraph" w:styleId="OutlineL6">
    <w:name w:val="Outline_L6"/>
    <w:basedOn w:val="OutlineL5"/>
    <w:next w:val="Normal"/>
    <w:qFormat/>
    <w:pPr>
      <w:numPr>
        <w:ilvl w:val="0"/>
        <w:numId w:val="3"/>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ormal"/>
    <w:qFormat/>
    <w:pPr>
      <w:numPr>
        <w:ilvl w:val="0"/>
        <w:numId w:val="3"/>
      </w:numPr>
      <w:ind w:hanging="360" w:start="360" w:end="0"/>
      <w:outlineLvl w:val="6"/>
    </w:pPr>
    <w:rPr/>
  </w:style>
  <w:style w:type="paragraph" w:styleId="OutlineL8">
    <w:name w:val="Outline_L8"/>
    <w:basedOn w:val="OutlineL7"/>
    <w:next w:val="Normal"/>
    <w:qFormat/>
    <w:pPr>
      <w:numPr>
        <w:ilvl w:val="0"/>
        <w:numId w:val="3"/>
      </w:numPr>
      <w:ind w:hanging="360" w:start="360" w:end="0"/>
      <w:outlineLvl w:val="7"/>
    </w:pPr>
    <w:rPr/>
  </w:style>
  <w:style w:type="paragraph" w:styleId="OutlineL9">
    <w:name w:val="Outline_L9"/>
    <w:basedOn w:val="OutlineL8"/>
    <w:next w:val="Normal"/>
    <w:qFormat/>
    <w:pPr>
      <w:numPr>
        <w:ilvl w:val="0"/>
        <w:numId w:val="3"/>
      </w:numPr>
      <w:ind w:hanging="360" w:start="360" w:end="0"/>
      <w:outlineLvl w:val="8"/>
    </w:pPr>
    <w:rPr/>
  </w:style>
  <w:style w:type="paragraph" w:styleId="coverbody">
    <w:name w:val="coverbody"/>
    <w:basedOn w:val="Normal"/>
    <w:qFormat/>
    <w:pPr>
      <w:spacing w:before="0" w:after="200"/>
      <w:jc w:val="both"/>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2001-10-23T12:12:00Z</dcterms:created>
  <dc:creator>dportz</dc:creator>
  <dc:description/>
  <dc:language>en-CA</dc:language>
  <cp:lastModifiedBy>dportz</cp:lastModifiedBy>
  <cp:lastPrinted>2001-10-23T09:50:00Z</cp:lastPrinted>
  <dcterms:modified xsi:type="dcterms:W3CDTF">2001-10-24T17:28:00Z</dcterms:modified>
  <cp:revision>7</cp:revision>
  <dc:subject/>
  <dc:title>Schedule “B”</dc:title>
</cp:coreProperties>
</file>