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PROPOSED POWER SERVICE</w:t>
      </w:r>
    </w:p>
    <w:p>
      <w:pPr>
        <w:pStyle w:val="Normal"/>
        <w:jc w:val="center"/>
        <w:rPr>
          <w:b/>
        </w:rPr>
      </w:pPr>
      <w:r>
        <w:rPr>
          <w:b/>
        </w:rPr>
        <w:t>AGREEMENT BETWEEN</w:t>
      </w:r>
    </w:p>
    <w:p>
      <w:pPr>
        <w:pStyle w:val="Normal"/>
        <w:jc w:val="center"/>
        <w:rPr>
          <w:b/>
        </w:rPr>
      </w:pPr>
      <w:r>
        <w:rPr>
          <w:b/>
        </w:rPr>
        <w:t>ENRON POWER MARKETING, INC.</w:t>
      </w:r>
    </w:p>
    <w:p>
      <w:pPr>
        <w:pStyle w:val="Normal"/>
        <w:jc w:val="center"/>
        <w:rPr>
          <w:b/>
        </w:rPr>
      </w:pPr>
      <w:r>
        <w:rPr>
          <w:b/>
        </w:rPr>
        <w:t>AND</w:t>
      </w:r>
    </w:p>
    <w:p>
      <w:pPr>
        <w:pStyle w:val="Normal"/>
        <w:jc w:val="center"/>
        <w:rPr>
          <w:b/>
        </w:rPr>
      </w:pPr>
      <w:r>
        <w:rPr>
          <w:b/>
        </w:rPr>
        <w:t>SOUTHWESTERN ELECTRIC COOPERATIVE, INC.</w:t>
      </w:r>
    </w:p>
    <w:p>
      <w:pPr>
        <w:pStyle w:val="Header"/>
        <w:tabs>
          <w:tab w:val="clear" w:pos="4320"/>
          <w:tab w:val="clear" w:pos="8640"/>
        </w:tabs>
        <w:rPr>
          <w:b/>
          <w:bCs/>
        </w:rPr>
      </w:pPr>
      <w:r>
        <w:rPr>
          <w:b/>
          <w:bCs/>
        </w:rPr>
      </w:r>
    </w:p>
    <w:p>
      <w:pPr>
        <w:pStyle w:val="Header"/>
        <w:tabs>
          <w:tab w:val="clear" w:pos="4320"/>
          <w:tab w:val="clear" w:pos="8640"/>
        </w:tabs>
        <w:rPr>
          <w:bCs/>
        </w:rPr>
      </w:pPr>
      <w:r>
        <w:rPr>
          <w:bCs/>
        </w:rPr>
      </w:r>
    </w:p>
    <w:p>
      <w:pPr>
        <w:pStyle w:val="Normal"/>
        <w:rPr>
          <w:bCs/>
        </w:rPr>
      </w:pPr>
      <w:r>
        <w:rPr>
          <w:b/>
        </w:rPr>
        <w:t>Purpose:</w:t>
      </w:r>
    </w:p>
    <w:p>
      <w:pPr>
        <w:pStyle w:val="BodyTextIndent2"/>
        <w:rPr/>
      </w:pPr>
      <w:r>
        <w:rPr/>
        <w:t>This proposal outlines the general terms and conditions under which Enron Power Marketing, Inc. (EPMI) would enter into a Power Service agreement with Southwestern Electric Cooperative, Inc.(SWECI).</w:t>
      </w:r>
    </w:p>
    <w:p>
      <w:pPr>
        <w:pStyle w:val="Normal"/>
        <w:ind w:start="360" w:end="0"/>
        <w:rPr/>
      </w:pPr>
      <w:r>
        <w:rPr/>
      </w:r>
    </w:p>
    <w:p>
      <w:pPr>
        <w:pStyle w:val="Heading1"/>
        <w:ind w:hanging="0" w:start="0"/>
        <w:rPr>
          <w:b w:val="false"/>
          <w:bCs/>
        </w:rPr>
      </w:pPr>
      <w:r>
        <w:rPr/>
        <w:t>Term</w:t>
      </w:r>
    </w:p>
    <w:p>
      <w:pPr>
        <w:pStyle w:val="Normal"/>
        <w:ind w:start="360" w:end="0"/>
        <w:rPr/>
      </w:pPr>
      <w:r>
        <w:rPr/>
        <w:t>June 1, 2004 to May 31, 2009</w:t>
      </w:r>
    </w:p>
    <w:p>
      <w:pPr>
        <w:pStyle w:val="Normal"/>
        <w:rPr/>
      </w:pPr>
      <w:r>
        <w:rPr/>
      </w:r>
    </w:p>
    <w:p>
      <w:pPr>
        <w:pStyle w:val="Normal"/>
        <w:rPr>
          <w:b/>
        </w:rPr>
      </w:pPr>
      <w:r>
        <w:rPr>
          <w:b/>
        </w:rPr>
        <w:t>Transaction Type</w:t>
      </w:r>
    </w:p>
    <w:p>
      <w:pPr>
        <w:pStyle w:val="Normal"/>
        <w:ind w:start="360" w:end="0"/>
        <w:rPr/>
      </w:pPr>
      <w:r>
        <w:rPr/>
        <w:t xml:space="preserve">Firm Full Requirements Power Sale </w:t>
      </w:r>
    </w:p>
    <w:p>
      <w:pPr>
        <w:pStyle w:val="Normal"/>
        <w:ind w:start="360" w:end="0"/>
        <w:rPr/>
      </w:pPr>
      <w:r>
        <w:rPr/>
      </w:r>
    </w:p>
    <w:p>
      <w:pPr>
        <w:pStyle w:val="Normal"/>
        <w:rPr>
          <w:bCs/>
        </w:rPr>
      </w:pPr>
      <w:r>
        <w:rPr>
          <w:b/>
        </w:rPr>
        <w:t>Delivery Point(s)</w:t>
      </w:r>
    </w:p>
    <w:p>
      <w:pPr>
        <w:pStyle w:val="Normal"/>
        <w:ind w:start="360" w:end="0"/>
        <w:rPr/>
      </w:pPr>
      <w:r>
        <w:rPr/>
        <w:t>Illinois Power (IP) transmission system border</w:t>
      </w:r>
    </w:p>
    <w:p>
      <w:pPr>
        <w:pStyle w:val="Normal"/>
        <w:ind w:start="360" w:end="0"/>
        <w:rPr/>
      </w:pPr>
      <w:r>
        <w:rPr/>
      </w:r>
    </w:p>
    <w:p>
      <w:pPr>
        <w:pStyle w:val="Heading1"/>
        <w:ind w:hanging="0" w:start="0"/>
        <w:rPr>
          <w:b w:val="false"/>
          <w:bCs/>
        </w:rPr>
      </w:pPr>
      <w:r>
        <w:rPr/>
        <w:t>Energy Price</w:t>
      </w:r>
    </w:p>
    <w:p>
      <w:pPr>
        <w:pStyle w:val="Normal"/>
        <w:rPr/>
      </w:pPr>
      <w:r>
        <w:rPr>
          <w:b/>
          <w:bCs/>
        </w:rPr>
        <w:t>Option 1</w:t>
      </w:r>
      <w:r>
        <w:rPr/>
        <w:t xml:space="preserve">- Energy with Imbalance Energy </w:t>
      </w:r>
    </w:p>
    <w:p>
      <w:pPr>
        <w:pStyle w:val="Normal"/>
        <w:rPr/>
      </w:pPr>
      <w:r>
        <w:rPr/>
      </w:r>
    </w:p>
    <w:p>
      <w:pPr>
        <w:pStyle w:val="Normal"/>
        <w:rPr/>
      </w:pPr>
      <w:r>
        <w:rPr/>
        <w:t>$36.25/ MWh</w:t>
      </w:r>
    </w:p>
    <w:p>
      <w:pPr>
        <w:pStyle w:val="Normal"/>
        <w:rPr>
          <w:iCs/>
        </w:rPr>
      </w:pPr>
      <w:r>
        <w:rPr>
          <w:iCs/>
        </w:rPr>
      </w:r>
    </w:p>
    <w:p>
      <w:pPr>
        <w:pStyle w:val="Normal"/>
        <w:rPr/>
      </w:pPr>
      <w:r>
        <w:rPr>
          <w:b/>
          <w:bCs/>
          <w:iCs/>
        </w:rPr>
        <w:t>Option 2</w:t>
      </w:r>
      <w:r>
        <w:rPr>
          <w:iCs/>
        </w:rPr>
        <w:t xml:space="preserve"> – Full Requirements Service, excluding schedule 1 and 2 transmission services (assumed to be included under SWECI’s purchase of system network service)</w:t>
      </w:r>
    </w:p>
    <w:p>
      <w:pPr>
        <w:pStyle w:val="Header"/>
        <w:tabs>
          <w:tab w:val="clear" w:pos="4320"/>
          <w:tab w:val="clear" w:pos="8640"/>
        </w:tabs>
        <w:rPr>
          <w:iCs/>
        </w:rPr>
      </w:pPr>
      <w:r>
        <w:rPr>
          <w:iCs/>
        </w:rPr>
      </w:r>
    </w:p>
    <w:p>
      <w:pPr>
        <w:pStyle w:val="Header"/>
        <w:tabs>
          <w:tab w:val="clear" w:pos="4320"/>
          <w:tab w:val="clear" w:pos="8640"/>
        </w:tabs>
        <w:rPr/>
      </w:pPr>
      <w:r>
        <w:rPr/>
        <w:t>$40.25/MWh</w:t>
      </w:r>
    </w:p>
    <w:p>
      <w:pPr>
        <w:pStyle w:val="Header"/>
        <w:tabs>
          <w:tab w:val="clear" w:pos="4320"/>
          <w:tab w:val="clear" w:pos="8640"/>
        </w:tabs>
        <w:rPr>
          <w:bCs/>
        </w:rPr>
      </w:pPr>
      <w:r>
        <w:rPr>
          <w:bCs/>
        </w:rPr>
      </w:r>
    </w:p>
    <w:p>
      <w:pPr>
        <w:pStyle w:val="Heading1"/>
        <w:ind w:hanging="0" w:start="0"/>
        <w:rPr>
          <w:b w:val="false"/>
          <w:bCs/>
        </w:rPr>
      </w:pPr>
      <w:r>
        <w:rPr/>
        <w:t>Firmness</w:t>
      </w:r>
    </w:p>
    <w:p>
      <w:pPr>
        <w:pStyle w:val="Normal"/>
        <w:ind w:start="360" w:end="0"/>
        <w:rPr/>
      </w:pPr>
      <w:r>
        <w:rPr/>
        <w:t>Energy will be considered firm with financially backed Liquidated Damages</w:t>
      </w:r>
    </w:p>
    <w:p>
      <w:pPr>
        <w:pStyle w:val="Header"/>
        <w:tabs>
          <w:tab w:val="clear" w:pos="4320"/>
          <w:tab w:val="clear" w:pos="8640"/>
          <w:tab w:val="left" w:pos="360" w:leader="none"/>
        </w:tabs>
        <w:rPr/>
      </w:pPr>
      <w:r>
        <w:rPr/>
      </w:r>
    </w:p>
    <w:p>
      <w:pPr>
        <w:pStyle w:val="Header"/>
        <w:tabs>
          <w:tab w:val="clear" w:pos="4320"/>
          <w:tab w:val="clear" w:pos="8640"/>
          <w:tab w:val="left" w:pos="360" w:leader="none"/>
        </w:tabs>
        <w:rPr>
          <w:bCs/>
        </w:rPr>
      </w:pPr>
      <w:r>
        <w:rPr>
          <w:b/>
        </w:rPr>
        <w:t>Delivery Schedule</w:t>
      </w:r>
    </w:p>
    <w:p>
      <w:pPr>
        <w:pStyle w:val="Header"/>
        <w:tabs>
          <w:tab w:val="clear" w:pos="4320"/>
          <w:tab w:val="clear" w:pos="8640"/>
          <w:tab w:val="left" w:pos="360" w:leader="none"/>
        </w:tabs>
        <w:rPr>
          <w:bCs/>
        </w:rPr>
      </w:pPr>
      <w:r>
        <w:rPr>
          <w:bCs/>
        </w:rPr>
        <w:tab/>
        <w:t>Per continuous real-time load data via a RTU delivery point located at SWECI’s facility.  Parties shall negotiate mutually acceptable scheduling procedures, should SWECI decide to acquire and serve load from alternate sources.</w:t>
      </w:r>
    </w:p>
    <w:p>
      <w:pPr>
        <w:pStyle w:val="Header"/>
        <w:tabs>
          <w:tab w:val="clear" w:pos="4320"/>
          <w:tab w:val="clear" w:pos="8640"/>
          <w:tab w:val="left" w:pos="360" w:leader="none"/>
        </w:tabs>
        <w:rPr>
          <w:bCs/>
        </w:rPr>
      </w:pPr>
      <w:r>
        <w:rPr>
          <w:bCs/>
        </w:rPr>
      </w:r>
    </w:p>
    <w:p>
      <w:pPr>
        <w:pStyle w:val="Heading1"/>
        <w:ind w:hanging="0" w:start="0"/>
        <w:rPr>
          <w:b w:val="false"/>
          <w:bCs/>
        </w:rPr>
      </w:pPr>
      <w:r>
        <w:rPr/>
        <w:t>Transmission</w:t>
      </w:r>
    </w:p>
    <w:p>
      <w:pPr>
        <w:pStyle w:val="BodyTextIndent"/>
        <w:rPr/>
      </w:pPr>
      <w:r>
        <w:rPr/>
        <w:t>EPMI shall be responsible for providing transmission and paying any transmission costs under the current IP tariff to the IP system border.</w:t>
      </w:r>
    </w:p>
    <w:p>
      <w:pPr>
        <w:pStyle w:val="Normal"/>
        <w:ind w:start="360" w:end="0"/>
        <w:rPr>
          <w:b/>
        </w:rPr>
      </w:pPr>
      <w:r>
        <w:rPr>
          <w:b/>
        </w:rPr>
        <w:tab/>
      </w:r>
      <w:r>
        <w:br w:type="page"/>
      </w:r>
    </w:p>
    <w:p>
      <w:pPr>
        <w:pStyle w:val="Normal"/>
        <w:rPr>
          <w:b/>
          <w:bCs/>
        </w:rPr>
      </w:pPr>
      <w:r>
        <w:rPr>
          <w:b/>
          <w:bCs/>
        </w:rPr>
        <w:t>ISO/RTOEffect</w:t>
      </w:r>
    </w:p>
    <w:p>
      <w:pPr>
        <w:pStyle w:val="BodyTextIndent"/>
        <w:rPr/>
      </w:pPr>
      <w:r>
        <w:rPr/>
        <w:t>If any ISO/RTO becomes functional during the contract term and there is a measurable change in the costs associated with the transmission costs, including but not limited to associated congestion charges to IP system, and /or additional costs, including but not limited to subsequently introduced products to satisfy capacity requirements, SWECI will have the right, but not the obligation to either pay for the additional costs or request that EPMI pay for the additional costs.  If SWECI requests that EPMI pay for the additional costs, EPMI shall have the right, but the obligation to either pay the additional costs or terminate the contract, with no termination penalties or charges.</w:t>
      </w:r>
    </w:p>
    <w:p>
      <w:pPr>
        <w:pStyle w:val="BodyTextIndent"/>
        <w:rPr/>
      </w:pPr>
      <w:r>
        <w:rPr/>
      </w:r>
    </w:p>
    <w:p>
      <w:pPr>
        <w:pStyle w:val="Normal"/>
        <w:rPr>
          <w:b/>
        </w:rPr>
      </w:pPr>
      <w:r>
        <w:rPr>
          <w:b/>
        </w:rPr>
        <w:t>Metering and Communications</w:t>
      </w:r>
    </w:p>
    <w:p>
      <w:pPr>
        <w:pStyle w:val="BodyTextIndent"/>
        <w:rPr>
          <w:bCs/>
        </w:rPr>
      </w:pPr>
      <w:r>
        <w:rPr>
          <w:bCs/>
        </w:rPr>
        <w:t>All charges associated with installation and operation of data acquisition and communications equipment will be provided by EPMI at a cost passed back to SWECI.  SWECI shall have the right, but not the obligation to install and operate such equipment if so desired.</w:t>
      </w:r>
    </w:p>
    <w:p>
      <w:pPr>
        <w:pStyle w:val="Normal"/>
        <w:rPr>
          <w:b/>
          <w:bCs/>
        </w:rPr>
      </w:pPr>
      <w:r>
        <w:rPr>
          <w:b/>
          <w:bCs/>
        </w:rPr>
      </w:r>
    </w:p>
    <w:p>
      <w:pPr>
        <w:pStyle w:val="Normal"/>
        <w:rPr>
          <w:b/>
        </w:rPr>
      </w:pPr>
      <w:r>
        <w:rPr>
          <w:b/>
        </w:rPr>
        <w:t>Conditions</w:t>
      </w:r>
    </w:p>
    <w:p>
      <w:pPr>
        <w:pStyle w:val="Normal"/>
        <w:ind w:firstLine="360" w:end="0"/>
        <w:rPr>
          <w:bCs/>
        </w:rPr>
      </w:pPr>
      <w:r>
        <w:rPr>
          <w:bCs/>
        </w:rPr>
        <w:t>EPMI’s offer is contingent upon EPMI being able to establish a Control Area on the behalf of SWECI</w:t>
      </w:r>
    </w:p>
    <w:p>
      <w:pPr>
        <w:pStyle w:val="Normal"/>
        <w:rPr>
          <w:b/>
          <w:bCs/>
        </w:rPr>
      </w:pPr>
      <w:r>
        <w:rPr>
          <w:b/>
          <w:bCs/>
        </w:rPr>
      </w:r>
    </w:p>
    <w:p>
      <w:pPr>
        <w:pStyle w:val="Normal"/>
        <w:rPr>
          <w:b/>
        </w:rPr>
      </w:pPr>
      <w:r>
        <w:rPr>
          <w:b/>
        </w:rPr>
        <w:t>Limitation on Damages:</w:t>
      </w:r>
    </w:p>
    <w:p>
      <w:pPr>
        <w:pStyle w:val="BodyTextIndent"/>
        <w:rPr/>
      </w:pPr>
      <w:r>
        <w:rPr/>
        <w:t>In no event will either party be liable to the other for incidental, consequential, special, or punitive damages incurred by either party in connection with the performance of any obligations under this sales agreement.</w:t>
      </w:r>
    </w:p>
    <w:p>
      <w:pPr>
        <w:pStyle w:val="Normal"/>
        <w:rPr/>
      </w:pPr>
      <w:r>
        <w:rPr/>
      </w:r>
    </w:p>
    <w:p>
      <w:pPr>
        <w:pStyle w:val="Normal"/>
        <w:rPr>
          <w:b/>
        </w:rPr>
      </w:pPr>
      <w:r>
        <w:rPr>
          <w:b/>
        </w:rPr>
        <w:t xml:space="preserve">Force Majeure: </w:t>
      </w:r>
    </w:p>
    <w:p>
      <w:pPr>
        <w:pStyle w:val="Normal"/>
        <w:ind w:start="360" w:end="0"/>
        <w:rPr/>
      </w:pPr>
      <w:r>
        <w:rPr/>
        <w:t xml:space="preserve">The sales agreement would contain standard </w:t>
      </w:r>
      <w:r>
        <w:rPr>
          <w:i/>
        </w:rPr>
        <w:t>force majeure</w:t>
      </w:r>
      <w:r>
        <w:rPr/>
        <w:t xml:space="preserve"> provisions.</w:t>
      </w:r>
    </w:p>
    <w:p>
      <w:pPr>
        <w:pStyle w:val="Normal"/>
        <w:ind w:start="360" w:end="0"/>
        <w:rPr/>
      </w:pPr>
      <w:r>
        <w:rPr/>
      </w:r>
    </w:p>
    <w:p>
      <w:pPr>
        <w:pStyle w:val="Normal"/>
        <w:rPr>
          <w:b/>
        </w:rPr>
      </w:pPr>
      <w:r>
        <w:rPr>
          <w:b/>
        </w:rPr>
        <w:t>Confidentiality:</w:t>
      </w:r>
    </w:p>
    <w:p>
      <w:pPr>
        <w:pStyle w:val="Normal"/>
        <w:ind w:start="360" w:end="0"/>
        <w:rPr>
          <w:b/>
          <w:i/>
          <w:i/>
          <w:sz w:val="22"/>
        </w:rPr>
      </w:pPr>
      <w:r>
        <w:rPr>
          <w:b/>
          <w:i/>
          <w:sz w:val="22"/>
        </w:rPr>
        <w:t>All terms and conditions of this proposal are confidential between Buyer and Seller and their duly appointed agents.  The costs assumed in this proposal are subject to movement during the time period Buyer will evaluate this proposal.  This proposal is for discussion purposes only to facilitate the negotiation, preparation and execution of a definitive agreement.  This is not an offer or a commitment of Seller or Buyer or any parent or affiliate of either.  The transaction described herein is subject to further review and approval of Seller and Buyer and execution of a definitive agreement containing all appropriate provisions, including, but not limited to, those relating to credit and limitation of damages and remedies.</w:t>
      </w:r>
    </w:p>
    <w:sectPr>
      <w:headerReference w:type="default" r:id="rId2"/>
      <w:footerReference w:type="default" r:id="rId3"/>
      <w:type w:val="nextPage"/>
      <w:pgSz w:w="12240" w:h="15840"/>
      <w:pgMar w:left="1800" w:right="1800" w:gutter="0" w:header="720" w:top="1166" w:footer="59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w:t>
    </w:r>
    <w:r>
      <w:rPr>
        <w:rStyle w:val="PageNumber"/>
      </w:rPr>
      <w:fldChar w:fldCharType="end"/>
    </w:r>
  </w:p>
  <w:p>
    <w:pPr>
      <w:pStyle w:val="Footer"/>
      <w:rPr>
        <w:i/>
        <w:i/>
      </w:rPr>
    </w:pPr>
    <w:r>
      <w:rPr>
        <w:i/>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hd w:fill="000000" w:val="clear"/>
      <w:jc w:val="center"/>
      <w:rPr/>
    </w:pPr>
    <w:r>
      <w:rPr/>
      <w:t>PROPOSAL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360" w:start="0" w:end="0"/>
    </w:pPr>
    <w:rPr/>
  </w:style>
  <w:style w:type="paragraph" w:styleId="BodyTextIndent2">
    <w:name w:val="Body Text Indent 2"/>
    <w:basedOn w:val="Normal"/>
    <w:qFormat/>
    <w:pPr>
      <w:ind w:firstLine="270" w:start="0" w:end="0"/>
    </w:pPr>
    <w:rPr/>
  </w:style>
  <w:style w:type="paragraph" w:styleId="NormalIndent">
    <w:name w:val="Normal Indent"/>
    <w:basedOn w:val="Normal"/>
    <w:qFormat/>
    <w:pPr>
      <w:ind w:hanging="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2001-10-22T13:19:00Z</dcterms:created>
  <dc:creator>ENRON</dc:creator>
  <dc:description>Six Month Supply delivered into HPL at Helen Hills for IFSC less $0.045 cents.</dc:description>
  <dc:language>en-CA</dc:language>
  <cp:lastModifiedBy>Doug Sewell</cp:lastModifiedBy>
  <cp:lastPrinted>2001-10-22T16:54:00Z</cp:lastPrinted>
  <dcterms:modified xsi:type="dcterms:W3CDTF">2001-10-22T19:40:00Z</dcterms:modified>
  <cp:revision>21</cp:revision>
  <dc:subject>Six Month Term Supply</dc:subject>
  <dc:title>TXO Gas Marketing</dc:title>
</cp:coreProperties>
</file>