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October 22, 1999</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 xml:space="preserve">The Honorable </w:t>
      </w: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FIRST </w:instrText>
      </w:r>
      <w:r>
        <w:rPr>
          <w:sz w:val="22"/>
          <w:rFonts w:cs="Times New Roman" w:ascii="Times New Roman" w:hAnsi="Times New Roman"/>
          <w:color w:val="000000"/>
        </w:rPr>
        <w:fldChar w:fldCharType="separate"/>
      </w:r>
      <w:r>
        <w:rPr>
          <w:sz w:val="22"/>
          <w:rFonts w:cs="Times New Roman" w:ascii="Times New Roman" w:hAnsi="Times New Roman"/>
          <w:color w:val="000000"/>
        </w:rPr>
        <w:t>«FIRST»</w:t>
      </w:r>
      <w:r>
        <w:rPr>
          <w:sz w:val="22"/>
          <w:rFonts w:cs="Times New Roman" w:ascii="Times New Roman" w:hAnsi="Times New Roman"/>
          <w:color w:val="000000"/>
        </w:rPr>
        <w:fldChar w:fldCharType="end"/>
      </w:r>
      <w:r>
        <w:rPr>
          <w:rFonts w:cs="Times New Roman" w:ascii="Times New Roman" w:hAnsi="Times New Roman"/>
          <w:color w:val="000000"/>
          <w:sz w:val="22"/>
        </w:rPr>
        <w:t xml:space="preserve"> </w:t>
      </w: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LAST </w:instrText>
      </w:r>
      <w:r>
        <w:rPr>
          <w:sz w:val="22"/>
          <w:rFonts w:cs="Times New Roman" w:ascii="Times New Roman" w:hAnsi="Times New Roman"/>
          <w:color w:val="000000"/>
        </w:rPr>
        <w:fldChar w:fldCharType="separate"/>
      </w:r>
      <w:r>
        <w:rPr>
          <w:sz w:val="22"/>
          <w:rFonts w:cs="Times New Roman" w:ascii="Times New Roman" w:hAnsi="Times New Roman"/>
          <w:color w:val="000000"/>
        </w:rPr>
        <w:t>«LAST»</w:t>
      </w:r>
      <w:r>
        <w:rPr>
          <w:sz w:val="22"/>
          <w:rFonts w:cs="Times New Roman" w:ascii="Times New Roman" w:hAnsi="Times New Roman"/>
          <w:color w:val="000000"/>
        </w:rPr>
        <w:fldChar w:fldCharType="end"/>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ADDRESS </w:instrText>
      </w:r>
      <w:r>
        <w:rPr>
          <w:sz w:val="22"/>
          <w:rFonts w:cs="Times New Roman" w:ascii="Times New Roman" w:hAnsi="Times New Roman"/>
          <w:color w:val="000000"/>
        </w:rPr>
        <w:fldChar w:fldCharType="separate"/>
      </w:r>
      <w:r>
        <w:rPr>
          <w:sz w:val="22"/>
          <w:rFonts w:cs="Times New Roman" w:ascii="Times New Roman" w:hAnsi="Times New Roman"/>
          <w:color w:val="000000"/>
        </w:rPr>
        <w:t>«ADDRESS»</w:t>
      </w:r>
      <w:r>
        <w:rPr>
          <w:sz w:val="22"/>
          <w:rFonts w:cs="Times New Roman" w:ascii="Times New Roman" w:hAnsi="Times New Roman"/>
          <w:color w:val="000000"/>
        </w:rPr>
        <w:fldChar w:fldCharType="end"/>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ROOM </w:instrText>
      </w:r>
      <w:r>
        <w:rPr>
          <w:sz w:val="22"/>
          <w:rFonts w:cs="Times New Roman" w:ascii="Times New Roman" w:hAnsi="Times New Roman"/>
          <w:color w:val="000000"/>
        </w:rPr>
        <w:fldChar w:fldCharType="separate"/>
      </w:r>
      <w:r>
        <w:rPr>
          <w:sz w:val="22"/>
          <w:rFonts w:cs="Times New Roman" w:ascii="Times New Roman" w:hAnsi="Times New Roman"/>
          <w:color w:val="000000"/>
        </w:rPr>
        <w:t>«ROOM»</w:t>
      </w:r>
      <w:r>
        <w:rPr>
          <w:sz w:val="22"/>
          <w:rFonts w:cs="Times New Roman" w:ascii="Times New Roman" w:hAnsi="Times New Roman"/>
          <w:color w:val="000000"/>
        </w:rPr>
        <w:fldChar w:fldCharType="end"/>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Washington, D.C. 20515</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pPr>
      <w:r>
        <w:rPr>
          <w:rFonts w:cs="Times New Roman" w:ascii="Times New Roman" w:hAnsi="Times New Roman"/>
          <w:color w:val="000000"/>
          <w:sz w:val="22"/>
        </w:rPr>
        <w:t xml:space="preserve">Dear </w:t>
      </w: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TITLE </w:instrText>
      </w:r>
      <w:r>
        <w:rPr>
          <w:sz w:val="22"/>
          <w:rFonts w:cs="Times New Roman" w:ascii="Times New Roman" w:hAnsi="Times New Roman"/>
          <w:color w:val="000000"/>
        </w:rPr>
        <w:fldChar w:fldCharType="separate"/>
      </w:r>
      <w:r>
        <w:rPr>
          <w:sz w:val="22"/>
          <w:rFonts w:cs="Times New Roman" w:ascii="Times New Roman" w:hAnsi="Times New Roman"/>
          <w:color w:val="000000"/>
        </w:rPr>
        <w:t>«TITLE»</w:t>
      </w:r>
      <w:r>
        <w:rPr>
          <w:sz w:val="22"/>
          <w:rFonts w:cs="Times New Roman" w:ascii="Times New Roman" w:hAnsi="Times New Roman"/>
          <w:color w:val="000000"/>
        </w:rPr>
        <w:fldChar w:fldCharType="end"/>
      </w:r>
      <w:r>
        <w:rPr>
          <w:rFonts w:cs="Times New Roman" w:ascii="Times New Roman" w:hAnsi="Times New Roman"/>
          <w:color w:val="000000"/>
          <w:sz w:val="22"/>
        </w:rPr>
        <w:t xml:space="preserve"> </w:t>
      </w:r>
      <w:r>
        <w:rPr>
          <w:rFonts w:cs="Times New Roman" w:ascii="Times New Roman" w:hAnsi="Times New Roman"/>
          <w:color w:val="000000"/>
          <w:sz w:val="22"/>
        </w:rPr>
        <w:fldChar w:fldCharType="begin"/>
      </w:r>
      <w:r>
        <w:rPr>
          <w:sz w:val="22"/>
          <w:rFonts w:cs="Times New Roman" w:ascii="Times New Roman" w:hAnsi="Times New Roman"/>
          <w:color w:val="000000"/>
        </w:rPr>
        <w:instrText xml:space="preserve"> MERGEFIELD LAST </w:instrText>
      </w:r>
      <w:r>
        <w:rPr>
          <w:sz w:val="22"/>
          <w:rFonts w:cs="Times New Roman" w:ascii="Times New Roman" w:hAnsi="Times New Roman"/>
          <w:color w:val="000000"/>
        </w:rPr>
        <w:fldChar w:fldCharType="separate"/>
      </w:r>
      <w:r>
        <w:rPr>
          <w:sz w:val="22"/>
          <w:rFonts w:cs="Times New Roman" w:ascii="Times New Roman" w:hAnsi="Times New Roman"/>
          <w:color w:val="000000"/>
        </w:rPr>
        <w:t>«LAST»</w:t>
      </w:r>
      <w:r>
        <w:rPr>
          <w:sz w:val="22"/>
          <w:rFonts w:cs="Times New Roman" w:ascii="Times New Roman" w:hAnsi="Times New Roman"/>
          <w:color w:val="000000"/>
        </w:rPr>
        <w:fldChar w:fldCharType="end"/>
      </w:r>
      <w:r>
        <w:rPr>
          <w:rFonts w:cs="Times New Roman" w:ascii="Times New Roman" w:hAnsi="Times New Roman"/>
          <w:color w:val="000000"/>
          <w:sz w:val="22"/>
        </w:rPr>
        <w:t>:</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As the House Energy and Power Subcommittee prepares to markup electricity restructuring legislation, we want to reiterate Enron Corp.’s strong support for Congressional enactment of federal legislation that fixes the real problems in today’s wholesale electricity market, thus allowing for more competition and increased reliability.  Unfortunately, H.R. 2944 as currently drafted does little to accomplish these important goals and would actually lead to less competition and severe grid failures.  Thus, it is essential for you to support amendments to the pending legislation which address competition and market power issues.</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pPr>
      <w:r>
        <w:rPr>
          <w:rFonts w:cs="Times New Roman" w:ascii="Times New Roman" w:hAnsi="Times New Roman"/>
          <w:color w:val="000000"/>
          <w:sz w:val="22"/>
        </w:rPr>
        <w:t xml:space="preserve">Enron does </w:t>
      </w:r>
      <w:r>
        <w:rPr>
          <w:rFonts w:cs="Times New Roman" w:ascii="Times New Roman" w:hAnsi="Times New Roman"/>
          <w:color w:val="000000"/>
          <w:sz w:val="22"/>
          <w:u w:val="single"/>
        </w:rPr>
        <w:t>not</w:t>
      </w:r>
      <w:r>
        <w:rPr>
          <w:rFonts w:cs="Times New Roman" w:ascii="Times New Roman" w:hAnsi="Times New Roman"/>
          <w:color w:val="000000"/>
          <w:sz w:val="22"/>
        </w:rPr>
        <w:t xml:space="preserve"> support H.R. 2944 in its current form.  A great number of witnesses before the Subcommittee shared our concerns and urged the Subcommittee Members to support amendments that address the utilities’ government sanctioned market power.</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There are numerous amendments Enron supports which would improve the bill and allow all competitors equal access to the monopoly transmission lines.  Of these amendments, one simple fix can address the major problems we are experiencing daily with our nations’ interstate transmission grid due to the fact that all market participants do not play by the same rules.</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pPr>
      <w:r>
        <w:rPr>
          <w:rFonts w:cs="Times New Roman" w:ascii="Times New Roman" w:hAnsi="Times New Roman"/>
          <w:color w:val="000000"/>
          <w:sz w:val="22"/>
        </w:rPr>
        <w:t xml:space="preserve">The problem is utilities use their preferential access to their transmission lines to favor themselves and to cut off their competitors’ access to markets.  The attached Section 101 Transmission Access Amendment merely requires </w:t>
      </w:r>
      <w:r>
        <w:rPr>
          <w:rFonts w:cs="Times New Roman" w:ascii="Times New Roman" w:hAnsi="Times New Roman"/>
          <w:color w:val="000000"/>
          <w:sz w:val="22"/>
          <w:u w:val="single"/>
        </w:rPr>
        <w:t>all</w:t>
      </w:r>
      <w:r>
        <w:rPr>
          <w:rFonts w:cs="Times New Roman" w:ascii="Times New Roman" w:hAnsi="Times New Roman"/>
          <w:color w:val="000000"/>
          <w:sz w:val="22"/>
        </w:rPr>
        <w:t xml:space="preserve"> uses of our nation’s transmission lines, whether used by the transmission owners or by others, to be under the same tariff.  The amendment also requires the utilities to separate their transmission and sales functions to remove any incentive to discriminate.  To be fair, the same transmission tariff must apply to both wholesale and retail transactions regardless of whether a state has “unbundled” its retail market.  Clearly just being under the same tariff does nothing to mandate states to adopt retail competition.  Further, these types of essential equal access requirements already apply to our nation’s other interstate network systems such as natural gas pipelines, long distance telephone lines, and air traffic control systems.</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As the Nation’s largest electricity marketer, we can tell you that adopting this amendment would profoundly and positively affect on reliability, supply and electricity price.  We hope you can support more competitive electricity markets and get the rules right as we enter the 21st Century.</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sectPr>
          <w:type w:val="nextPage"/>
          <w:pgSz w:w="12240" w:h="15840"/>
          <w:pgMar w:left="1440" w:right="1440" w:gutter="0" w:header="0" w:top="2880" w:footer="0" w:bottom="1008"/>
          <w:pgNumType w:fmt="decimal"/>
          <w:formProt w:val="false"/>
          <w:titlePg/>
          <w:textDirection w:val="lrTb"/>
          <w:docGrid w:type="default" w:linePitch="360" w:charSpace="0"/>
        </w:sect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 xml:space="preserve">Only Congress can fix the interstate rules.  As much as you may trust your own state regulator, can you trust your neighboring states’ regulators?  These hundreds of state regulators daily demonstrate their inclination to allow discrimination which results in increasing grid reliability problems, fewer competitors gaining access to customers, and unnecessarily higher prices.  </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October 22, 1999</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Page Two</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Don’t let neighboring states turn out the lights in your state.  Adopt amendments necessary to fix the very real market power problems in today’s wholesale electricity market.  Thank you for your consideration and please feel free to call me for further information.</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Sincerely,</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ms Rmn" w:ascii="Tms Rmn" w:hAnsi="Tms Rmn"/>
        </w:rPr>
        <w:drawing>
          <wp:inline distT="0" distB="0" distL="0" distR="0">
            <wp:extent cx="2404745" cy="5391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5" t="-67" r="-15" b="-67"/>
                    <a:stretch>
                      <a:fillRect/>
                    </a:stretch>
                  </pic:blipFill>
                  <pic:spPr bwMode="auto">
                    <a:xfrm>
                      <a:off x="0" y="0"/>
                      <a:ext cx="2404745" cy="539115"/>
                    </a:xfrm>
                    <a:prstGeom prst="rect">
                      <a:avLst/>
                    </a:prstGeom>
                    <a:noFill/>
                  </pic:spPr>
                </pic:pic>
              </a:graphicData>
            </a:graphic>
          </wp:inline>
        </w:drawing>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cc:</w:t>
        <w:tab/>
        <w:t>House Republican and Democrat Leadership</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ab/>
        <w:t>House Commerce Committee Members</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t>Enclosure</w:t>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p>
      <w:pPr>
        <w:pStyle w:val="Style0"/>
        <w:tabs>
          <w:tab w:val="left" w:pos="-1440" w:leader="none"/>
          <w:tab w:val="left" w:pos="-976" w:leader="none"/>
          <w:tab w:val="left" w:pos="-256" w:leader="none"/>
          <w:tab w:val="left" w:pos="46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both"/>
        <w:rPr>
          <w:rFonts w:ascii="Times New Roman" w:hAnsi="Times New Roman" w:cs="Times New Roman"/>
          <w:color w:val="000000"/>
          <w:sz w:val="22"/>
        </w:rPr>
      </w:pPr>
      <w:r>
        <w:rPr>
          <w:rFonts w:cs="Times New Roman" w:ascii="Times New Roman" w:hAnsi="Times New Roman"/>
          <w:color w:val="000000"/>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1999-10-22T18:01:00Z</dcterms:created>
  <dc:creator>anavin</dc:creator>
  <dc:description/>
  <dc:language>en-CA</dc:language>
  <cp:lastModifiedBy>anavin</cp:lastModifiedBy>
  <cp:lastPrinted>1999-10-22T17:54:00Z</cp:lastPrinted>
  <dcterms:modified xsi:type="dcterms:W3CDTF">1999-10-22T19:26:00Z</dcterms:modified>
  <cp:revision>4</cp:revision>
  <dc:subject/>
  <dc:title>October 21, 1999</dc:title>
</cp:coreProperties>
</file>