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SoCalGas Advice Letter Summary</w:t>
        <w:br/>
        <w:br/>
        <w:t>October 20, 2001</w:t>
      </w:r>
    </w:p>
    <w:p>
      <w:pPr>
        <w:pStyle w:val="Body"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075"/>
        <w:gridCol w:w="307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3072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10/15/01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11/4/01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18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Normal"/>
              <w:jc w:val="both"/>
              <w:rPr/>
            </w:pPr>
            <w:r>
              <w:rPr/>
              <w:t>This filing, made each year on or before October 15, is in compliance with the longstanding practice of updating SoCalGas’ revenue requirements for projected year-end regulatory account balances as established in Ordering Paragraph 2 of D.94-12-052.  This filing is to revise SoCalGas’ rates to incorporate the projected 2001 year-end regulatory account balances in rates effective January 1, 2002.  In summary, an increase of $125.2 million (or 10.5%) in the total core revenue requirement is necessary to amortize the projected year-end 2001 balances in the regulatory accounts.  A decrease of $23.6 million (or 13.3%) in the total noncore transportation revenue requirement is necessary to amortize the projected year-end 2001 balances in the regulatory accounts.  The Sempra-Wide common Electric Generation (EG) rate adjustment associated with these regulatory account updates will increase by $3.1 million.  This reduces the total noncore revenue reduction to $20.5 million.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075"/>
        <w:gridCol w:w="307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3073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10/18/01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11/7/01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18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Normal"/>
              <w:rPr/>
            </w:pPr>
            <w:r>
              <w:rPr/>
              <w:t>By this advice letter SoCalGas is notifying the Commission of the formation of a newly created affiliate.  The company is named CS Sur S.A.  Based in Buenos Aires, it is described as being engaged in, “Trading liquid gas in bottles and/ or tubes or in bulk…”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0"/>
        <w:ind w:hanging="0" w:end="0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152" w:footer="0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SoCalGas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PlainText">
    <w:name w:val="Plain Text"/>
    <w:basedOn w:val="Normal"/>
    <w:qFormat/>
    <w:pPr>
      <w:widowControl w:val="false"/>
      <w:spacing w:lineRule="auto" w:line="360"/>
      <w:ind w:firstLine="720" w:start="0" w:end="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2001-10-20T15:16:00Z</dcterms:created>
  <dc:creator>Arter &amp; Hadden</dc:creator>
  <dc:description/>
  <dc:language>en-CA</dc:language>
  <cp:lastModifiedBy>Daniel W. Douglass</cp:lastModifiedBy>
  <cp:lastPrinted>2001-10-20T11:47:00Z</cp:lastPrinted>
  <dcterms:modified xsi:type="dcterms:W3CDTF">2001-10-20T16:17:00Z</dcterms:modified>
  <cp:revision>4</cp:revision>
  <dc:subject/>
  <dc:title>A</dc:title>
</cp:coreProperties>
</file>