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spacing w:before="0" w:after="0"/>
        <w:ind w:hanging="0" w:end="0"/>
        <w:jc w:val="center"/>
        <w:rPr>
          <w:b/>
          <w:u w:val="single"/>
        </w:rPr>
      </w:pPr>
      <w:r>
        <w:rPr>
          <w:b/>
          <w:u w:val="single"/>
        </w:rPr>
        <w:t>October 20, 2001</w:t>
      </w:r>
      <w:bookmarkStart w:id="0" w:name="zEndAddressee"/>
      <w:bookmarkEnd w:id="0"/>
    </w:p>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1367-E / 1276-G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10/21/01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The purpose of this advice letter is to comply with the decision issued in SDG&amp;E’s PBR application.  D.99-05-030 adopted a rate indexing methodology and directed the utility to submit adjustments to its electric distribution and gas base margin rates each October.</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1364-E-A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10/3/01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10/23/01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The purpose of this filing is to modify 1364-E, which revised the utility’s transmission rates to include a surcharge applicable to all retail customers.  The previous filing inadvertently omitted street lighting rates, which are included in this supplemental filing.</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1368-E / 1277-G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10/3/01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10/23/01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 xml:space="preserve">The purpose of this filing is to notify the Commission of the creation of several new affiliates, in accordance with the affiliate transaction rules.  The new affiliates are Sempra Energy Exploration, Bonnet Carre Power, Sempra Soluciones Energeticas Internacional Espana and Copper Mountain Power. </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1278-G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10/4/01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10/24/01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The purpose of this filing is to revise the utility’s gas tariff schedules, including its core rates, one-year purchase commitment rates, monthly purchase commitment rates, Franchise Fee Surcharge rates and Standby Procurement, Buyback and Daily Balancing standby rates under Schedule G-IMB – Transportation Imbalance Service.</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10/12/01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11/1/01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Protest Material</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widowControl/>
              <w:ind w:end="360"/>
              <w:jc w:val="both"/>
              <w:rPr/>
            </w:pPr>
            <w:r>
              <w:rPr/>
              <w:t xml:space="preserve">This is the filing made jointly with PG&amp;E (see PG&amp;E summary dated 10/19/01 for AL 2167-E) </w:t>
            </w:r>
            <w:r>
              <w:rPr>
                <w:szCs w:val="24"/>
              </w:rPr>
              <w:t xml:space="preserve">to advise the Commission of the implementation steps the UDCs are taking to effectuate D.01-09-060, the Decision in which the Commission suspended the right of customers to acquire direct access service.  </w:t>
            </w:r>
          </w:p>
          <w:p>
            <w:pPr>
              <w:pStyle w:val="Normal"/>
              <w:widowControl/>
              <w:ind w:end="360"/>
              <w:jc w:val="both"/>
              <w:rPr>
                <w:szCs w:val="24"/>
              </w:rPr>
            </w:pPr>
            <w:r>
              <w:rPr>
                <w:szCs w:val="24"/>
              </w:rPr>
            </w:r>
          </w:p>
          <w:p>
            <w:pPr>
              <w:pStyle w:val="Normal"/>
              <w:jc w:val="both"/>
              <w:rPr>
                <w:b/>
                <w:bCs/>
                <w:u w:val="single"/>
              </w:rPr>
            </w:pPr>
            <w:r>
              <w:rPr>
                <w:b/>
                <w:bCs/>
                <w:szCs w:val="24"/>
              </w:rPr>
              <w:t>AReM has already decided to protest this advice letter.  A copy of it is attached for your information.</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1370-E / 1279-G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10/17/01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11/6/01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rPr>
                <w:rFonts w:ascii="Times New Roman" w:hAnsi="Times New Roman" w:cs="Times New Roman"/>
                <w:b/>
                <w:bCs/>
                <w:u w:val="single"/>
              </w:rPr>
            </w:pPr>
            <w:r>
              <w:rPr>
                <w:rFonts w:cs="Times New Roman" w:ascii="Times New Roman" w:hAnsi="Times New Roman"/>
              </w:rPr>
              <w:t>The purpose of this filing is to notify the Commission of the creation of a new affiliate, in accordance with the affiliate transaction rules.  The new affiliate is named CS Sur S.A.  Based in Buenos Aires, it is described as being engaged in, “Trading liquid gas in bottles and/ or tubes or in bulk…”  This is the same affiliate mentioned in today’s summary of SoCalGas advice letter 3073.</w:t>
            </w:r>
          </w:p>
          <w:p>
            <w:pPr>
              <w:pStyle w:val="Normal"/>
              <w:widowControl/>
              <w:tabs>
                <w:tab w:val="clear" w:pos="720"/>
                <w:tab w:val="left" w:pos="9180" w:leader="none"/>
              </w:tabs>
              <w:jc w:val="both"/>
              <w:rPr>
                <w:rFonts w:ascii="Times New Roman" w:hAnsi="Times New Roman" w:cs="Times New Roman"/>
                <w:b/>
                <w:bCs/>
                <w:u w:val="single"/>
              </w:rPr>
            </w:pPr>
            <w:r>
              <w:rPr>
                <w:rFonts w:cs="Times New Roman"/>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1371-E / 1280-G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10/18/01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11/7/01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This advice letter concerns an MOU entered into by SDG&amp;E, the United States Government and Hunt Building Corporation.  It deals with the redesign of gas and electric facilities at a 714-unit housing project located at Marine Corps Base Camp Pendleton.</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1372-E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10/18/01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11/7/01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widowControl/>
              <w:tabs>
                <w:tab w:val="clear" w:pos="720"/>
                <w:tab w:val="left" w:pos="9180" w:leader="none"/>
              </w:tabs>
              <w:jc w:val="both"/>
              <w:rPr/>
            </w:pPr>
            <w:r>
              <w:rPr/>
              <w:t>This advice letter revises all of SDG&amp;E’s tariffs to delete references to Schedule PX and replace them with references to Schedule EECC.  On 12/5/00, SDG&amp;E filed AL 1274-E to rename Schedule PX and to change references to purchasing energy from the PX to more general references.  The advice letter was approved last January and this filing is being done at the request of the Energy Division to clean up the other tariffs where Schedule PX was mentioned.</w:t>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1363-E-A / 1274-G-A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10/19/01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11/8/01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Normal"/>
              <w:jc w:val="both"/>
              <w:rPr>
                <w:b/>
                <w:bCs/>
                <w:u w:val="single"/>
              </w:rPr>
            </w:pPr>
            <w:r>
              <w:rPr/>
              <w:t>This advice letter makes certain changes to the utility’s electric and gas tariffs to establish the Residential Demand Responsiveness Program Memorandum Account (RDRPMA) and to clarify that the balances in the RDRPMA and the Self-Generation Program Memorandum Account will be transferred annually to a balancing account.  These changes were authorized by D.01-07-028.</w:t>
            </w:r>
          </w:p>
          <w:p>
            <w:pPr>
              <w:pStyle w:val="Normal"/>
              <w:widowControl/>
              <w:tabs>
                <w:tab w:val="clear" w:pos="720"/>
                <w:tab w:val="left" w:pos="9180" w:leader="none"/>
              </w:tabs>
              <w:jc w:val="both"/>
              <w:rPr>
                <w:b/>
                <w:bCs/>
                <w:u w:val="single"/>
              </w:rPr>
            </w:pPr>
            <w:r>
              <w:rPr>
                <w:b/>
                <w:bCs/>
                <w:u w:val="single"/>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576"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NormalWeb">
    <w:name w:val="Normal (Web)"/>
    <w:basedOn w:val="Normal"/>
    <w:qFormat/>
    <w:pPr>
      <w:widowControl/>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2001-10-20T18:03:00Z</dcterms:created>
  <dc:creator>Arter &amp; Hadden</dc:creator>
  <dc:description/>
  <dc:language>en-CA</dc:language>
  <cp:lastModifiedBy>Daniel W. Douglass</cp:lastModifiedBy>
  <cp:lastPrinted>2001-10-22T12:18:00Z</cp:lastPrinted>
  <dcterms:modified xsi:type="dcterms:W3CDTF">2001-10-22T16:48:00Z</dcterms:modified>
  <cp:revision>9</cp:revision>
  <dc:subject/>
  <dc:title>A</dc:title>
</cp:coreProperties>
</file>