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Edison Advice Letter Summary</w:t>
        <w:br/>
        <w:br/>
        <w:t>October 20, 2001</w:t>
      </w:r>
    </w:p>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1582-E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10/11/01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10/31/01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rPr>
            </w:pPr>
            <w:r>
              <w:rPr>
                <w:b/>
              </w:rPr>
              <w:t>Analysis:</w:t>
            </w:r>
          </w:p>
          <w:p>
            <w:pPr>
              <w:pStyle w:val="WW-BodyText2"/>
              <w:widowControl/>
              <w:overflowPunct w:val="true"/>
              <w:textAlignment w:val="auto"/>
              <w:rPr>
                <w:szCs w:val="24"/>
              </w:rPr>
            </w:pPr>
            <w:r>
              <w:rPr>
                <w:szCs w:val="24"/>
              </w:rPr>
              <w:t>The purpose of this filing is to provide notice of construction of new facilities.  SCE proposes to add approximately 1.8 miles of a second 66kV circuit to an existing single circuit 66kV line in the City of Tulare.  In addition, SCE proposes to construct a new 66/12kV substation on private property located in the same city.  The newly formed 66kV line and substation will serve a new cheese processing plant owned by Cheese &amp; Protein International, LLC.</w:t>
            </w:r>
          </w:p>
          <w:p>
            <w:pPr>
              <w:pStyle w:val="WW-BodyText2"/>
              <w:widowControl/>
              <w:rPr>
                <w:szCs w:val="24"/>
              </w:rPr>
            </w:pPr>
            <w:r>
              <w:rPr>
                <w:szCs w:val="24"/>
              </w:rPr>
            </w:r>
          </w:p>
        </w:tc>
      </w:tr>
    </w:tbl>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1579-E-A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10/16/01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10/26/01</w:t>
            </w:r>
          </w:p>
          <w:p>
            <w:pPr>
              <w:pStyle w:val="Body"/>
              <w:widowControl/>
              <w:spacing w:before="0" w:after="0"/>
              <w:ind w:hanging="0" w:end="0"/>
              <w:jc w:val="center"/>
              <w:rPr/>
            </w:pPr>
            <w:r>
              <w:rPr/>
              <w:t>[ten days]</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rPr>
            </w:pPr>
            <w:r>
              <w:rPr>
                <w:b/>
              </w:rPr>
              <w:t>Analysis:</w:t>
            </w:r>
          </w:p>
          <w:p>
            <w:pPr>
              <w:pStyle w:val="WW-BodyText2"/>
              <w:widowControl/>
              <w:overflowPunct w:val="true"/>
              <w:textAlignment w:val="auto"/>
              <w:rPr>
                <w:szCs w:val="24"/>
              </w:rPr>
            </w:pPr>
            <w:r>
              <w:rPr>
                <w:szCs w:val="24"/>
              </w:rPr>
              <w:t xml:space="preserve">On October 5, SCE filed to establish the Risk Management Memorandum Account (RMMA), in which SCE will record costs associated with hedging fuel cost risks associated with SCE’s Utility Retained Generation (URG), Qualifying Facilities (QF) Contracts, and Interutility Contracts.  See the last summary for more information.  At the request of the Commission’s Energy Division, SCE has now filed a supplement to Advice 1579-E in order to clarify certain portions of SCE’s proposed RMMA.  </w:t>
            </w:r>
          </w:p>
          <w:p>
            <w:pPr>
              <w:pStyle w:val="WW-BodyText2"/>
              <w:widowControl/>
              <w:rPr>
                <w:szCs w:val="24"/>
              </w:rPr>
            </w:pPr>
            <w:r>
              <w:rPr>
                <w:szCs w:val="24"/>
              </w:rPr>
            </w:r>
          </w:p>
        </w:tc>
      </w:tr>
    </w:tbl>
    <w:p>
      <w:pPr>
        <w:pStyle w:val="Body"/>
        <w:widowControl/>
        <w:spacing w:before="0" w:after="0"/>
        <w:ind w:hanging="0" w:end="0"/>
        <w:jc w:val="both"/>
        <w:rPr>
          <w:b/>
          <w:u w:val="single"/>
        </w:rPr>
      </w:pPr>
      <w:r>
        <w:rPr>
          <w:b/>
          <w:u w:val="single"/>
        </w:rPr>
      </w:r>
    </w:p>
    <w:p>
      <w:pPr>
        <w:pStyle w:val="Normal"/>
        <w:rPr>
          <w:b/>
          <w:u w:val="single"/>
        </w:rPr>
      </w:pPr>
      <w:r>
        <w:rPr>
          <w:b/>
          <w:u w:val="single"/>
        </w:rPr>
      </w:r>
    </w:p>
    <w:sectPr>
      <w:headerReference w:type="default" r:id="rId2"/>
      <w:headerReference w:type="first" r:id="rId3"/>
      <w:footerReference w:type="default" r:id="rId4"/>
      <w:footerReference w:type="first" r:id="rId5"/>
      <w:type w:val="nextPage"/>
      <w:pgSz w:w="12240" w:h="15840"/>
      <w:pgMar w:left="1440" w:right="1440" w:gutter="0" w:header="720" w:top="1296"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SCE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DocTitle">
    <w:name w:val="DocTitle"/>
    <w:basedOn w:val="DefaultParagraphFont"/>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WW-BodyText2">
    <w:name w:val="WW-Body Text 2"/>
    <w:basedOn w:val="Normal"/>
    <w:qFormat/>
    <w:pPr>
      <w:jc w:val="both"/>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2001-10-20T16:33:00Z</dcterms:created>
  <dc:creator>Arter &amp; Hadden</dc:creator>
  <dc:description/>
  <dc:language>en-CA</dc:language>
  <cp:lastModifiedBy>Daniel W. Douglass</cp:lastModifiedBy>
  <cp:lastPrinted>2001-10-11T16:40:00Z</cp:lastPrinted>
  <dcterms:modified xsi:type="dcterms:W3CDTF">2001-10-20T16:45:00Z</dcterms:modified>
  <cp:revision>4</cp:revision>
  <dc:subject/>
  <dc:title>Edison Advice Letter Summary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