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bCs/>
          <w:u w:val="single"/>
        </w:rPr>
      </w:pPr>
      <w:r>
        <w:rPr>
          <w:b/>
          <w:bCs/>
          <w:u w:val="single"/>
        </w:rPr>
        <w:t>PG&amp;E Advice Letter Summary</w:t>
      </w:r>
    </w:p>
    <w:p>
      <w:pPr>
        <w:pStyle w:val="Body"/>
        <w:widowControl/>
        <w:ind w:hanging="0" w:end="0"/>
        <w:jc w:val="center"/>
        <w:rPr/>
      </w:pPr>
      <w:r>
        <w:rPr/>
        <w:t>October 17, 2000</w:t>
      </w:r>
    </w:p>
    <w:tbl>
      <w:tblPr>
        <w:tblW w:w="15338" w:type="dxa"/>
        <w:jc w:val="start"/>
        <w:tblInd w:w="0" w:type="dxa"/>
        <w:tblLayout w:type="fixed"/>
        <w:tblCellMar>
          <w:top w:w="0" w:type="dxa"/>
          <w:start w:w="108" w:type="dxa"/>
          <w:bottom w:w="0" w:type="dxa"/>
          <w:end w:w="108" w:type="dxa"/>
        </w:tblCellMar>
      </w:tblPr>
      <w:tblGrid>
        <w:gridCol w:w="1368"/>
        <w:gridCol w:w="1490"/>
        <w:gridCol w:w="1565"/>
        <w:gridCol w:w="1805"/>
        <w:gridCol w:w="333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c>
          <w:tcPr>
            <w:tcW w:w="5762" w:type="dxa"/>
            <w:gridSpan w:val="4"/>
            <w:tcBorders/>
            <w:tcMar>
              <w:start w:w="0" w:type="dxa"/>
              <w:end w:w="0" w:type="dxa"/>
            </w:tcMar>
          </w:tcPr>
          <w:p>
            <w:pPr>
              <w:pStyle w:val="Normal"/>
              <w:snapToGrid w:val="false"/>
              <w:rPr>
                <w:b/>
                <w:bCs/>
              </w:rPr>
            </w:pPr>
            <w:r>
              <w:rPr>
                <w:b/>
                <w:bCs/>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2041-E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10/16/00</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u w:val="single"/>
              </w:rPr>
            </w:pPr>
            <w:r>
              <w:rPr>
                <w:b/>
                <w:bCs/>
                <w:u w:val="single"/>
              </w:rPr>
              <w:t>10/30/00</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Should be Reviewed</w:t>
            </w:r>
          </w:p>
        </w:tc>
        <w:tc>
          <w:tcPr>
            <w:tcW w:w="5762" w:type="dxa"/>
            <w:gridSpan w:val="4"/>
            <w:tcBorders/>
            <w:tcMar>
              <w:start w:w="0" w:type="dxa"/>
              <w:end w:w="0" w:type="dxa"/>
            </w:tcMar>
          </w:tcPr>
          <w:p>
            <w:pPr>
              <w:pStyle w:val="Normal"/>
              <w:snapToGrid w:val="false"/>
              <w:rPr/>
            </w:pPr>
            <w:r>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b/>
                <w:bCs/>
              </w:rPr>
            </w:pPr>
            <w:r>
              <w:rPr>
                <w:b/>
                <w:bCs/>
              </w:rPr>
              <w:t xml:space="preserve">Analysis:  </w:t>
            </w:r>
          </w:p>
          <w:p>
            <w:pPr>
              <w:pStyle w:val="Normal"/>
              <w:widowControl/>
              <w:ind w:start="180" w:end="162"/>
              <w:jc w:val="both"/>
              <w:rPr>
                <w:color w:val="000000"/>
              </w:rPr>
            </w:pPr>
            <w:r>
              <w:rPr>
                <w:color w:val="000000"/>
              </w:rPr>
              <w:t xml:space="preserve">This advice letter </w:t>
            </w:r>
            <w:r>
              <w:rPr/>
              <w:t xml:space="preserve">submits for Commission approval </w:t>
            </w:r>
            <w:r>
              <w:rPr>
                <w:i/>
                <w:iCs/>
              </w:rPr>
              <w:t>per se</w:t>
            </w:r>
            <w:r>
              <w:rPr/>
              <w:t xml:space="preserve"> reasonableness standards for </w:t>
              <w:br/>
              <w:t xml:space="preserve">PG&amp;E’s purchases </w:t>
            </w:r>
            <w:r>
              <w:rPr>
                <w:color w:val="000000"/>
              </w:rPr>
              <w:t xml:space="preserve">of energy, ancillary services and capacity products in the bilateral electricity market. The reasonableness standards were developed </w:t>
            </w:r>
            <w:r>
              <w:rPr/>
              <w:t xml:space="preserve">pursuant to </w:t>
            </w:r>
            <w:r>
              <w:rPr>
                <w:color w:val="000000"/>
              </w:rPr>
              <w:t>D.00-08-023, which provided that, “</w:t>
            </w:r>
            <w:r>
              <w:rPr/>
              <w:t xml:space="preserve">PG&amp;E will identify for the Energy Division and the Office of Ratepayer Advocates, ahead of time the specific sources of prices offered in the market for energy, ancillary services and capacity products that will be used to price the bilateral transactions. These identified sources will provide a target price range for PG&amp;E’s contracts. Any purchases made by PG&amp;E within this approved range will be reasonable per se…The Energy Division and ORA will be able to validate the price range based on the same market price sources identified ahead of time.”  </w:t>
            </w:r>
          </w:p>
          <w:p>
            <w:pPr>
              <w:pStyle w:val="Normal"/>
              <w:widowControl/>
              <w:jc w:val="both"/>
              <w:rPr>
                <w:color w:val="000000"/>
              </w:rPr>
            </w:pPr>
            <w:r>
              <w:rPr>
                <w:color w:val="000000"/>
              </w:rPr>
            </w:r>
          </w:p>
          <w:p>
            <w:pPr>
              <w:pStyle w:val="Normal"/>
              <w:widowControl/>
              <w:ind w:start="180" w:end="162"/>
              <w:rPr/>
            </w:pPr>
            <w:r>
              <w:rPr>
                <w:b/>
                <w:bCs/>
                <w:i/>
                <w:iCs/>
                <w:u w:val="single"/>
              </w:rPr>
              <w:t>However</w:t>
            </w:r>
            <w:r>
              <w:rPr>
                <w:i/>
                <w:iCs/>
              </w:rPr>
              <w:t xml:space="preserve">, note that the standards in Attachment 1 are being provided to the Energy Division, ORA and other Commission staff on a </w:t>
            </w:r>
            <w:r>
              <w:rPr>
                <w:i/>
                <w:iCs/>
                <w:u w:val="single"/>
              </w:rPr>
              <w:t>confidential</w:t>
            </w:r>
            <w:r>
              <w:rPr>
                <w:i/>
                <w:iCs/>
              </w:rPr>
              <w:t xml:space="preserve"> basis pursuant to PU Code, Section 583.  The advice letter includes an Attachment 1 which is said to contain, “market sensitive and proprietary information.”  PG&amp;E has requested a protective order for all of the contents of Attachment 1 and has sent redacted copies of Attachment 1 to all parties on the service list.</w:t>
            </w:r>
          </w:p>
          <w:p>
            <w:pPr>
              <w:pStyle w:val="Normal"/>
              <w:widowControl/>
              <w:ind w:start="180" w:end="162"/>
              <w:rPr>
                <w:i/>
                <w:i/>
                <w:iCs/>
              </w:rPr>
            </w:pPr>
            <w:r>
              <w:rPr>
                <w:i/>
                <w:iCs/>
              </w:rPr>
            </w:r>
          </w:p>
          <w:p>
            <w:pPr>
              <w:pStyle w:val="Normal"/>
              <w:widowControl/>
              <w:ind w:start="180" w:end="162"/>
              <w:jc w:val="both"/>
              <w:rPr/>
            </w:pPr>
            <w:r>
              <w:rPr/>
              <w:t>The advice letter also says that PG&amp;E intends to solicit and evaluate proposals in a Request for Offers process.  The offers received will be evaluated based on the criteria in attachment 1.  The utility had expected that its conversations with the Energy Division and ORA on reasonableness standards would have been approved before the first round of bids were accepted on October 11.  However, that approval has not yet been provided.  This advice letter is submitted because PG&amp;E wants, “assurance that predefined reasonableness standards are in place” before accepting additional bids for bilateral transaction.</w:t>
            </w:r>
          </w:p>
          <w:p>
            <w:pPr>
              <w:pStyle w:val="Normal"/>
              <w:widowControl/>
              <w:ind w:start="180" w:end="162"/>
              <w:jc w:val="both"/>
              <w:rPr/>
            </w:pPr>
            <w:r>
              <w:rPr/>
            </w:r>
          </w:p>
          <w:p>
            <w:pPr>
              <w:pStyle w:val="Normal"/>
              <w:widowControl/>
              <w:ind w:start="180" w:end="162"/>
              <w:jc w:val="both"/>
              <w:rPr/>
            </w:pPr>
            <w:r>
              <w:rPr/>
              <w:t>Note that PG&amp;E requests a shortened response time of only 14 days for comments or protests.</w:t>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pPr>
            <w:r>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bl>
    <w:p>
      <w:pPr>
        <w:pStyle w:val="Body"/>
        <w:widowControl/>
        <w:spacing w:before="0" w:after="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r>
            <w:rPr>
              <w:rStyle w:val="PageNumber"/>
              <w:sz w:val="24"/>
              <w:szCs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widowControl/>
            <w:snapToGrid w:val="false"/>
            <w:rPr/>
          </w:pPr>
          <w:r>
            <w:rPr/>
          </w:r>
        </w:p>
      </w:tc>
      <w:tc>
        <w:tcPr>
          <w:tcW w:w="1987" w:type="dxa"/>
          <w:tcBorders/>
        </w:tcPr>
        <w:p>
          <w:pPr>
            <w:pStyle w:val="Normal"/>
            <w:widowControl/>
            <w:snapToGrid w:val="false"/>
            <w:jc w:val="center"/>
            <w:rPr/>
          </w:pPr>
          <w:r>
            <w:rPr/>
          </w:r>
        </w:p>
      </w:tc>
      <w:tc>
        <w:tcPr>
          <w:tcW w:w="3686" w:type="dxa"/>
          <w:tcBorders/>
        </w:tcPr>
        <w:p>
          <w:pPr>
            <w:pStyle w:val="Normal"/>
            <w:widowControl/>
            <w:snapToGrid w:val="false"/>
            <w:jc w:val="end"/>
            <w:rPr/>
          </w:pPr>
          <w:r>
            <w:rPr/>
          </w:r>
        </w:p>
      </w:tc>
    </w:tr>
  </w:tbl>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PG&amp;E Advice Letter Summary Chart</w:t>
    </w:r>
  </w:p>
  <w:p>
    <w:pPr>
      <w:pStyle w:val="Header"/>
      <w:widowControl/>
      <w:rPr/>
    </w:pPr>
    <w:r>
      <w:rPr/>
      <w:t>September 19, 2000</w:t>
    </w:r>
  </w:p>
  <w:p>
    <w:pPr>
      <w:pStyle w:val="Header"/>
      <w:widowControl/>
      <w:rPr>
        <w:rStyle w:val="PageNumber"/>
        <w:sz w:val="24"/>
        <w:szCs w:val="24"/>
      </w:rPr>
    </w:pPr>
    <w:r>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p>
  <w:p>
    <w:pPr>
      <w:pStyle w:val="Header"/>
      <w:widowControl/>
      <w:rPr>
        <w:rStyle w:val="PageNumber"/>
        <w:sz w:val="24"/>
        <w:szCs w:val="24"/>
      </w:rPr>
    </w:pPr>
    <w:r>
      <w:rPr/>
    </w:r>
  </w:p>
  <w:p>
    <w:pPr>
      <w:pStyle w:val="Header"/>
      <w:widowControl/>
      <w:rPr>
        <w:rStyle w:val="PageNumber"/>
        <w:sz w:val="24"/>
        <w:szCs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Bold">
    <w:name w:val="Bold"/>
    <w:basedOn w:val="DefaultParagraphFont"/>
    <w:qFormat/>
    <w:rPr>
      <w:b/>
      <w:bCs/>
      <w:sz w:val="20"/>
      <w:szCs w:val="20"/>
    </w:rPr>
  </w:style>
  <w:style w:type="character" w:styleId="BoldUnd">
    <w:name w:val="BoldUnd"/>
    <w:basedOn w:val="DefaultParagraphFont"/>
    <w:qFormat/>
    <w:rPr>
      <w:b/>
      <w:bCs/>
      <w:sz w:val="20"/>
      <w:szCs w:val="20"/>
      <w:u w:val="single"/>
    </w:rPr>
  </w:style>
  <w:style w:type="character" w:styleId="Underline">
    <w:name w:val="Underline"/>
    <w:basedOn w:val="DefaultParagraphFont"/>
    <w:qFormat/>
    <w:rPr>
      <w:sz w:val="20"/>
      <w:szCs w:val="20"/>
      <w:u w:val="single"/>
    </w:rPr>
  </w:style>
  <w:style w:type="character" w:styleId="FieldMark">
    <w:name w:val="FieldMark"/>
    <w:basedOn w:val="DefaultParagraphFont"/>
    <w:qFormat/>
    <w:rPr>
      <w:b/>
      <w:bCs/>
      <w:color w:val="0000FF"/>
      <w:sz w:val="20"/>
      <w:szCs w:val="20"/>
    </w:rPr>
  </w:style>
  <w:style w:type="character" w:styleId="OptionalParas">
    <w:name w:val="OptionalParas"/>
    <w:basedOn w:val="DefaultParagraphFont"/>
    <w:qFormat/>
    <w:rPr>
      <w:color w:val="0000FF"/>
      <w:sz w:val="20"/>
      <w:szCs w:val="20"/>
    </w:rPr>
  </w:style>
  <w:style w:type="character" w:styleId="DocTitle">
    <w:name w:val="DocTitle"/>
    <w:basedOn w:val="DefaultParagraphFont"/>
    <w:qFormat/>
    <w:rPr>
      <w:b/>
      <w:bC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Text2">
    <w:name w:val="Body Text 2"/>
    <w:basedOn w:val="Normal"/>
    <w:qFormat/>
    <w:pPr>
      <w:jc w:val="both"/>
    </w:pPr>
    <w:rPr>
      <w:rFonts w:ascii="Arial" w:hAnsi="Arial" w:eastAsia="Arial" w:cs="Arial"/>
      <w:color w:val="FF0000"/>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2000-10-17T12:32:00Z</dcterms:created>
  <dc:creator>Arter &amp; Hadden</dc:creator>
  <dc:description/>
  <dc:language>en-CA</dc:language>
  <cp:lastModifiedBy>Arter &amp; Hadden</cp:lastModifiedBy>
  <cp:lastPrinted>2000-10-17T08:22:00Z</cp:lastPrinted>
  <dcterms:modified xsi:type="dcterms:W3CDTF">2000-10-17T12:52:00Z</dcterms:modified>
  <cp:revision>4</cp:revision>
  <dc:subject/>
  <dc:title>A</dc:title>
</cp:coreProperties>
</file>