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SoCalGas Advice Letter Summary</w:t>
        <w:br/>
        <w:br/>
        <w:t>October 16, 2000</w:t>
      </w:r>
    </w:p>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ind w:start="180" w:end="180"/>
              <w:jc w:val="both"/>
              <w:rPr/>
            </w:pPr>
            <w:r>
              <w:rPr/>
              <w:t xml:space="preserve">The purpose of this Advice Letter is to requests approval of a contract amendment between SoCalGas and SDG&amp;E to SDG&amp;E’s Master Services Agreement for long-term firm transmission natural gas service under Rate Schedule GW-SD.  </w:t>
            </w:r>
          </w:p>
          <w:p>
            <w:pPr>
              <w:pStyle w:val="Normal"/>
              <w:ind w:start="180" w:end="180"/>
              <w:jc w:val="both"/>
              <w:rPr>
                <w:b/>
                <w:bCs/>
              </w:rPr>
            </w:pPr>
            <w:r>
              <w:rPr>
                <w:b/>
                <w:bCs/>
              </w:rPr>
            </w:r>
          </w:p>
          <w:p>
            <w:pPr>
              <w:pStyle w:val="Normal"/>
              <w:ind w:start="180" w:end="180"/>
              <w:jc w:val="both"/>
              <w:rPr/>
            </w:pPr>
            <w:r>
              <w:rPr/>
              <w:t>On June 21, 2000, SoCalGas AL 2929 was submitted to the Commission for approval of an open season to allocate firm transmission service capacity for customers requesting service under Rate Schedule Nos. GW -SD and GT-SD.  As reported in AL 2929, requested monthly demand quantities exceeded available capacity for five months of the year.  SoCalGas will sign two-year firm agreements with the open season participants upon Commission approval of AL 2929. Until approved, SoCalGas will allow the existing SDG&amp;E firm service agreement to continue on a monthly basis as allowed in the form agreement.</w:t>
            </w:r>
          </w:p>
          <w:p>
            <w:pPr>
              <w:pStyle w:val="Normal"/>
              <w:jc w:val="both"/>
              <w:rPr/>
            </w:pPr>
            <w:r>
              <w:rPr/>
            </w:r>
          </w:p>
          <w:p>
            <w:pPr>
              <w:pStyle w:val="Body"/>
              <w:ind w:hanging="0" w:start="180" w:end="180"/>
              <w:jc w:val="both"/>
              <w:rPr/>
            </w:pPr>
            <w:r>
              <w:rPr/>
              <w:t xml:space="preserve">SoCalGas says that since AL 2929 was filed, demand for gas service has increased to such an extent that the probability of curtailment on the SDG&amp;E system is higher than at any time since 1989.  Based on its recent experience, SDG&amp;E has determined that an expansion of SDG&amp;E’s capacity to provide natural gas service to its customers is necessary.  SDG&amp;E has informed SoCalGas that the most cost efficient approach to increase the capacity of their combined systems would require SoCalGas to expand transmission capacity on the Moreno Station to Rainbow delivery point corridor located in Riverside County. This expansion would involve completion of Phases II and III of Line 6900. The Line 6900 Expansion will, in turn, increase SDG&amp;E’s system capacity by 70 MMcfd. </w:t>
            </w:r>
          </w:p>
          <w:p>
            <w:pPr>
              <w:pStyle w:val="Body"/>
              <w:spacing w:before="0" w:after="240"/>
              <w:ind w:hanging="0" w:start="180" w:end="180"/>
              <w:jc w:val="both"/>
              <w:rPr/>
            </w:pPr>
            <w:r>
              <w:rPr/>
              <w:t>SoCalGas does not expect the incremental revenues resulting  from the Line 6900 Expansion to meet or exceed the anticipated expansion cost of $26 million over the two (2) year term for firm service under Schedule GW -SD. Although SoCalGas fully expects to continue to provide wholesale service to SDG&amp;E beyond the two (2) year term for service, SoCalGas has requested that SDG&amp;E commit to a long-term contract for firm transmission service that would ensure recovery of the Line 6900 Expansion costs. Accordingly, SDG&amp;E and SoCalGas have negotiated an amended Service Agreement which is attached to this advice filing.</w:t>
            </w:r>
          </w:p>
        </w:tc>
      </w:tr>
    </w:tbl>
    <w:p>
      <w:pPr>
        <w:pStyle w:val="Body"/>
        <w:ind w:hanging="0" w:end="0"/>
        <w:jc w:val="center"/>
        <w:rPr>
          <w:b/>
          <w:bCs/>
          <w:u w:val="single"/>
        </w:rPr>
      </w:pPr>
      <w:r>
        <w:br w:type="page"/>
      </w: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10/16/00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11/5/00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Body"/>
              <w:ind w:hanging="0" w:start="180" w:end="180"/>
              <w:jc w:val="both"/>
              <w:rPr/>
            </w:pPr>
            <w:r>
              <w:rPr/>
              <w:t xml:space="preserve">This filing is made in compliance with the practice of updating regulatory account balances on or before October 15 of each year as established in Ordering Paragraph 2 of D.94-12-052. The purpose of this filing is to revise SoCalGas’ rates to incorporate the projected 2000 year-end regulatory account balances for the second period 1 of D.00-04-060, SoCalGas’ 1999 Biennial Cost Allocation Proceeding (BCAP).  The proposed rates are based on the average temperature year gas demand data for setting rates adopted by the Commission in D.00-04-060.  </w:t>
            </w:r>
          </w:p>
          <w:p>
            <w:pPr>
              <w:pStyle w:val="Body"/>
              <w:ind w:hanging="0" w:start="180" w:end="180"/>
              <w:jc w:val="both"/>
              <w:rPr/>
            </w:pPr>
            <w:r>
              <w:rPr/>
              <w:t>A decrease of $33.1 million (or 2.6%) in the total core revenue requirement is necessary to amortize the projected year-end 2000 balances in the regulatory accounts and update core pipeline demand rates per D.00-04-060.</w:t>
            </w:r>
          </w:p>
          <w:p>
            <w:pPr>
              <w:pStyle w:val="Body"/>
              <w:ind w:hanging="0" w:start="180" w:end="180"/>
              <w:jc w:val="both"/>
              <w:rPr/>
            </w:pPr>
            <w:r>
              <w:rPr/>
              <w:t>A decrease of $59.5 million (or 27.2%) in the total noncore transportation revenue requirement is necessary to amortize the projected year-end 2000 balances in the regulatory accounts</w:t>
            </w:r>
            <w:r>
              <w:rPr>
                <w:rFonts w:eastAsia="Arial" w:cs="Arial" w:ascii="Arial" w:hAnsi="Arial"/>
                <w:sz w:val="23"/>
                <w:szCs w:val="23"/>
              </w:rPr>
              <w:t>.</w:t>
            </w:r>
          </w:p>
          <w:p>
            <w:pPr>
              <w:pStyle w:val="Body"/>
              <w:spacing w:before="0" w:after="240"/>
              <w:ind w:hanging="0" w:start="180" w:end="180"/>
              <w:jc w:val="both"/>
              <w:rPr/>
            </w:pPr>
            <w:r>
              <w:rPr/>
              <w:t>Finally, te common Electric Generation rate adjustment associated with these regulatory account updates will increase by $6.3 million. This reduces the total noncore revenue reduction to $53.2 million. In addition, the overcollected balance amortized in rates in the California Alternate Rates for Energy (CARE) account will decrease by $3.0 million over the current level</w:t>
            </w:r>
          </w:p>
        </w:tc>
      </w:tr>
    </w:tbl>
    <w:p>
      <w:pPr>
        <w:pStyle w:val="Body"/>
        <w:spacing w:before="0" w:after="0"/>
        <w:ind w:hanging="0" w:end="0"/>
        <w:jc w:val="center"/>
        <w:rPr>
          <w:b/>
          <w:bCs/>
          <w:u w:val="single"/>
        </w:rPr>
      </w:pPr>
      <w:r>
        <w:rPr>
          <w:b/>
          <w:bCs/>
          <w:u w:val="single"/>
        </w:rPr>
      </w:r>
    </w:p>
    <w:p>
      <w:pPr>
        <w:pStyle w:val="Body"/>
        <w:spacing w:before="0" w:after="240"/>
        <w:ind w:hanging="0" w:end="0"/>
        <w:jc w:val="center"/>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2000-10-16T21:58:00Z</dcterms:created>
  <dc:creator>Arter &amp; Hadden</dc:creator>
  <dc:description/>
  <dc:language>en-CA</dc:language>
  <cp:lastModifiedBy>Arter &amp; Hadden</cp:lastModifiedBy>
  <cp:lastPrinted>2000-10-16T17:28:00Z</cp:lastPrinted>
  <dcterms:modified xsi:type="dcterms:W3CDTF">2000-10-16T21:58:00Z</dcterms:modified>
  <cp:revision>3</cp:revision>
  <dc:subject/>
  <dc:title>A</dc:title>
</cp:coreProperties>
</file>