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SoCalGas Advice Letter Summary</w:t>
        <w:br/>
        <w:br/>
        <w:t>October 26, 2000</w:t>
      </w:r>
    </w:p>
    <w:p>
      <w:pPr>
        <w:pStyle w:val="Body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1684"/>
        <w:gridCol w:w="3469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Filed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 Due</w:t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Recommendation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2968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SoCalGas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10/25/00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11/14/00</w:t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Ignore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start="180" w:end="180"/>
              <w:jc w:val="both"/>
              <w:rPr/>
            </w:pPr>
            <w:r>
              <w:rPr/>
              <w:t>This advice letter submits for filing a long-term storage contract SoCalGas has executed with Cytec Fiberite, Inc. (renewed) A customer having a previous long term storage contact that has expired and has signed a new 3 year long-term storage contract with SoCalGas is indicated as a “renewed” contract.</w:t>
            </w:r>
          </w:p>
        </w:tc>
      </w:tr>
    </w:tbl>
    <w:p>
      <w:pPr>
        <w:pStyle w:val="Body"/>
        <w:spacing w:before="0" w:after="240"/>
        <w:ind w:hanging="0" w:end="0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152" w:footer="432" w:bottom="1152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9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90"/>
    </w:tblGrid>
    <w:tr>
      <w:trPr/>
      <w:tc>
        <w:tcPr>
          <w:tcW w:w="3802" w:type="dxa"/>
          <w:tcBorders/>
        </w:tcPr>
        <w:p>
          <w:pPr>
            <w:pStyle w:val="FooterTxt"/>
            <w:snapToGrid w:val="false"/>
            <w:rPr/>
          </w:pPr>
          <w:r>
            <w:rPr/>
          </w:r>
        </w:p>
        <w:p>
          <w:pPr>
            <w:pStyle w:val="FooterTxt"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jc w:val="center"/>
            <w:rPr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0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.</w:t>
          </w:r>
        </w:p>
      </w:tc>
      <w:tc>
        <w:tcPr>
          <w:tcW w:w="3690" w:type="dxa"/>
          <w:tcBorders/>
        </w:tcPr>
        <w:p>
          <w:pPr>
            <w:pStyle w:val="Normal"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86"/>
    </w:tblGrid>
    <w:tr>
      <w:trPr/>
      <w:tc>
        <w:tcPr>
          <w:tcW w:w="3802" w:type="dxa"/>
          <w:tcBorders/>
        </w:tcPr>
        <w:p>
          <w:pPr>
            <w:pStyle w:val="FooterTxt"/>
            <w:snapToGrid w:val="false"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snapToGrid w:val="false"/>
            <w:jc w:val="center"/>
            <w:rPr/>
          </w:pPr>
          <w:r>
            <w:rPr/>
          </w:r>
        </w:p>
      </w:tc>
      <w:tc>
        <w:tcPr>
          <w:tcW w:w="3686" w:type="dxa"/>
          <w:tcBorders/>
        </w:tcPr>
        <w:p>
          <w:pPr>
            <w:pStyle w:val="Normal"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SoCalGas Advice Letter Summary</w:t>
    </w:r>
  </w:p>
  <w:p>
    <w:pPr>
      <w:pStyle w:val="Header"/>
      <w:rPr/>
    </w:pP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  <w:p>
    <w:pPr>
      <w:pStyle w:val="Header"/>
      <w:rPr>
        <w:rStyle w:val="PageNumber"/>
      </w:rPr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>
        <w:rStyle w:val="PageNumber"/>
      </w:rPr>
    </w:pPr>
    <w:r>
      <w:rPr/>
    </w:r>
  </w:p>
  <w:p>
    <w:pPr>
      <w:pStyle w:val="Header"/>
      <w:rPr>
        <w:rStyle w:val="PageNumber"/>
      </w:rPr>
    </w:pPr>
    <w:r>
      <w:rPr/>
    </w:r>
  </w:p>
  <w:p>
    <w:pPr>
      <w:pStyle w:val="Header"/>
      <w:rPr>
        <w:rStyle w:val="PageNumber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ind w:hanging="720" w:start="1440" w:end="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ind w:hanging="720" w:start="2160" w:end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ind w:hanging="720" w:start="2880" w:end="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ind w:hanging="720" w:start="3600" w:end="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ind w:hanging="720" w:start="4320" w:end="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ind w:hanging="720" w:start="5040" w:end="0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ind w:hanging="720" w:start="5760" w:end="0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ind w:hanging="720" w:start="6480" w:end="0"/>
      <w:outlineLvl w:val="8"/>
    </w:pPr>
    <w:rPr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Bold">
    <w:name w:val="Bold"/>
    <w:basedOn w:val="DefaultParagraphFont"/>
    <w:qFormat/>
    <w:rPr>
      <w:b/>
      <w:bCs/>
    </w:rPr>
  </w:style>
  <w:style w:type="character" w:styleId="BoldUnd">
    <w:name w:val="BoldUnd"/>
    <w:basedOn w:val="DefaultParagraphFont"/>
    <w:qFormat/>
    <w:rPr>
      <w:b/>
      <w:bCs/>
      <w:u w:val="single"/>
    </w:rPr>
  </w:style>
  <w:style w:type="character" w:styleId="Underline">
    <w:name w:val="Underline"/>
    <w:basedOn w:val="DefaultParagraphFont"/>
    <w:qFormat/>
    <w:rPr>
      <w:u w:val="single"/>
    </w:rPr>
  </w:style>
  <w:style w:type="character" w:styleId="FieldMark">
    <w:name w:val="FieldMark"/>
    <w:basedOn w:val="DefaultParagraphFont"/>
    <w:qFormat/>
    <w:rPr>
      <w:b/>
      <w:bCs/>
      <w:color w:val="0000FF"/>
    </w:rPr>
  </w:style>
  <w:style w:type="character" w:styleId="OptionalParas">
    <w:name w:val="OptionalParas"/>
    <w:basedOn w:val="DefaultParagraphFont"/>
    <w:qFormat/>
    <w:rPr>
      <w:color w:val="0000FF"/>
    </w:rPr>
  </w:style>
  <w:style w:type="character" w:styleId="DocTitle">
    <w:name w:val="DocTitle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>
      <w:sz w:val="24"/>
      <w:szCs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Flush">
    <w:name w:val="Normal Flush"/>
    <w:basedOn w:val="Normal"/>
    <w:qFormat/>
    <w:pPr/>
    <w:rPr/>
  </w:style>
  <w:style w:type="paragraph" w:styleId="BodyTextIndent">
    <w:name w:val="Body Text Indent"/>
    <w:basedOn w:val="Normal"/>
    <w:pPr>
      <w:spacing w:before="0" w:after="240"/>
      <w:ind w:hanging="0" w:start="1440" w:end="0"/>
    </w:pPr>
    <w:rPr>
      <w:sz w:val="24"/>
      <w:szCs w:val="24"/>
    </w:rPr>
  </w:style>
  <w:style w:type="paragraph" w:styleId="IndentRight">
    <w:name w:val="Indent Right"/>
    <w:basedOn w:val="Normal"/>
    <w:qFormat/>
    <w:pPr>
      <w:spacing w:before="0" w:after="240"/>
      <w:ind w:hanging="0" w:start="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/>
    <w:rPr/>
  </w:style>
  <w:style w:type="paragraph" w:styleId="FooterTxt">
    <w:name w:val="FooterTxt"/>
    <w:basedOn w:val="Footer"/>
    <w:qFormat/>
    <w:pPr/>
    <w:rPr>
      <w:sz w:val="14"/>
      <w:szCs w:val="14"/>
      <w:lang w:val="en-CA"/>
    </w:rPr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  <w:szCs w:val="24"/>
    </w:rPr>
  </w:style>
  <w:style w:type="paragraph" w:styleId="HeadingTitle">
    <w:name w:val="Heading Title"/>
    <w:basedOn w:val="Normal"/>
    <w:qFormat/>
    <w:pPr>
      <w:keepNext w:val="true"/>
      <w:keepLines/>
      <w:spacing w:before="0" w:after="240"/>
      <w:jc w:val="center"/>
    </w:pPr>
    <w:rPr>
      <w:u w:val="single"/>
    </w:rPr>
  </w:style>
  <w:style w:type="paragraph" w:styleId="IndentLeft">
    <w:name w:val="Indent Left"/>
    <w:basedOn w:val="Normal"/>
    <w:qFormat/>
    <w:pPr>
      <w:spacing w:before="0" w:after="240"/>
      <w:ind w:hanging="0" w:start="1440" w:end="0"/>
    </w:pPr>
    <w:rPr>
      <w:sz w:val="24"/>
      <w:szCs w:val="24"/>
    </w:rPr>
  </w:style>
  <w:style w:type="paragraph" w:styleId="NormalIndent">
    <w:name w:val="Normal Indent"/>
    <w:basedOn w:val="Normal"/>
    <w:qFormat/>
    <w:pPr>
      <w:spacing w:before="0" w:after="240"/>
      <w:ind w:firstLine="1440" w:start="0" w:end="0"/>
    </w:pPr>
    <w:rPr/>
  </w:style>
  <w:style w:type="paragraph" w:styleId="Center">
    <w:name w:val="Center"/>
    <w:basedOn w:val="Normal"/>
    <w:qFormat/>
    <w:pPr>
      <w:suppressAutoHyphens w:val="true"/>
      <w:spacing w:before="0" w:after="240"/>
      <w:jc w:val="center"/>
    </w:pPr>
    <w:rPr/>
  </w:style>
  <w:style w:type="paragraph" w:styleId="Table">
    <w:name w:val="Table"/>
    <w:basedOn w:val="Normal"/>
    <w:qFormat/>
    <w:pPr>
      <w:spacing w:before="40" w:after="40"/>
    </w:pPr>
    <w:rPr/>
  </w:style>
  <w:style w:type="paragraph" w:styleId="IndentLR">
    <w:name w:val="Indent L/R"/>
    <w:basedOn w:val="Normal"/>
    <w:qFormat/>
    <w:pPr>
      <w:spacing w:before="0" w:after="240"/>
      <w:ind w:hanging="0" w:start="1440" w:end="1440"/>
    </w:pPr>
    <w:rPr/>
  </w:style>
  <w:style w:type="paragraph" w:styleId="IndentBlock">
    <w:name w:val="Indent Block"/>
    <w:basedOn w:val="Normal"/>
    <w:qFormat/>
    <w:pPr>
      <w:spacing w:before="0" w:after="240"/>
      <w:ind w:hanging="720" w:start="2160" w:end="0"/>
    </w:pPr>
    <w:rPr/>
  </w:style>
  <w:style w:type="paragraph" w:styleId="Body">
    <w:name w:val="Body"/>
    <w:basedOn w:val="Normal"/>
    <w:qFormat/>
    <w:pPr>
      <w:spacing w:before="0" w:after="240"/>
      <w:ind w:firstLine="720" w:start="0" w:end="0"/>
    </w:pPr>
    <w:rPr/>
  </w:style>
  <w:style w:type="paragraph" w:styleId="IndentOneHalf">
    <w:name w:val="IndentOneHalf"/>
    <w:basedOn w:val="Body"/>
    <w:qFormat/>
    <w:pPr>
      <w:ind w:firstLine="720" w:start="720" w:end="0"/>
      <w:jc w:val="start"/>
    </w:pPr>
    <w:rPr/>
  </w:style>
  <w:style w:type="paragraph" w:styleId="IndentOneInch">
    <w:name w:val="IndentOneInch"/>
    <w:basedOn w:val="Body"/>
    <w:qFormat/>
    <w:pPr>
      <w:ind w:firstLine="720" w:start="1440" w:end="0"/>
      <w:jc w:val="start"/>
    </w:pPr>
    <w:rPr/>
  </w:style>
  <w:style w:type="paragraph" w:styleId="IndentTwoInches">
    <w:name w:val="IndentTwoInches"/>
    <w:basedOn w:val="Body"/>
    <w:qFormat/>
    <w:pPr>
      <w:ind w:firstLine="720" w:start="2880" w:end="0"/>
      <w:jc w:val="start"/>
    </w:pPr>
    <w:rPr/>
  </w:style>
  <w:style w:type="paragraph" w:styleId="TOC1">
    <w:name w:val="toc 1"/>
    <w:basedOn w:val="Normal"/>
    <w:next w:val="Normal"/>
    <w:pPr>
      <w:tabs>
        <w:tab w:val="left" w:pos="720" w:leader="none"/>
        <w:tab w:val="right" w:pos="9360" w:leader="dot"/>
      </w:tabs>
      <w:spacing w:before="240" w:after="0"/>
      <w:ind w:hanging="720" w:start="720" w:end="1440"/>
    </w:pPr>
    <w:rPr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360" w:leader="dot"/>
      </w:tabs>
      <w:spacing w:before="240" w:after="0"/>
      <w:ind w:hanging="720" w:start="1440" w:end="1440"/>
    </w:pPr>
    <w:rPr>
      <w:lang w:val="en-CA"/>
    </w:rPr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60" w:leader="dot"/>
      </w:tabs>
      <w:spacing w:before="240" w:after="0"/>
      <w:ind w:hanging="720" w:start="2160" w:end="1440"/>
    </w:pPr>
    <w:rPr>
      <w:lang w:val="en-CA"/>
    </w:rPr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60" w:leader="dot"/>
      </w:tabs>
      <w:spacing w:before="240" w:after="0"/>
      <w:ind w:hanging="720" w:start="2880" w:end="1440"/>
    </w:pPr>
    <w:rPr>
      <w:lang w:val="en-CA"/>
    </w:rPr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60" w:leader="dot"/>
      </w:tabs>
      <w:spacing w:before="240" w:after="0"/>
      <w:ind w:hanging="720" w:start="3600" w:end="144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60" w:leader="dot"/>
      </w:tabs>
      <w:spacing w:before="240" w:after="0"/>
      <w:ind w:hanging="720" w:start="4320" w:end="1440"/>
    </w:pPr>
    <w:rPr/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60" w:leader="dot"/>
      </w:tabs>
      <w:spacing w:before="240" w:after="0"/>
      <w:ind w:hanging="720" w:start="5040" w:end="144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5760" w:leader="none"/>
        <w:tab w:val="right" w:pos="9360" w:leader="dot"/>
      </w:tabs>
      <w:spacing w:before="240" w:after="0"/>
      <w:ind w:hanging="720" w:start="5760" w:end="144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6480" w:leader="none"/>
        <w:tab w:val="right" w:pos="9360" w:leader="dot"/>
      </w:tabs>
      <w:spacing w:before="240" w:after="0"/>
      <w:ind w:hanging="720" w:start="6480" w:end="1440"/>
    </w:pPr>
    <w:rPr/>
  </w:style>
  <w:style w:type="paragraph" w:styleId="BodyFlush">
    <w:name w:val="BodyFlush"/>
    <w:basedOn w:val="Normal"/>
    <w:qFormat/>
    <w:pPr>
      <w:spacing w:before="0" w:after="240"/>
    </w:pPr>
    <w:rPr/>
  </w:style>
  <w:style w:type="paragraph" w:styleId="PlainText">
    <w:name w:val="Plain Text"/>
    <w:basedOn w:val="Normal"/>
    <w:qFormat/>
    <w:pPr>
      <w:widowControl w:val="false"/>
      <w:spacing w:lineRule="auto" w:line="360"/>
      <w:ind w:firstLine="720" w:start="0" w:end="0"/>
    </w:pPr>
    <w:rPr/>
  </w:style>
  <w:style w:type="paragraph" w:styleId="Body1">
    <w:name w:val="Body1"/>
    <w:basedOn w:val="Normal"/>
    <w:qFormat/>
    <w:pPr>
      <w:spacing w:before="0" w:after="240"/>
      <w:ind w:firstLine="1440" w:start="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2000-10-16T21:58:00Z</dcterms:created>
  <dc:creator>Arter &amp; Hadden</dc:creator>
  <dc:description/>
  <dc:language>en-CA</dc:language>
  <cp:lastModifiedBy>Arter &amp; Hadden</cp:lastModifiedBy>
  <cp:lastPrinted>2000-10-26T18:07:00Z</cp:lastPrinted>
  <dcterms:modified xsi:type="dcterms:W3CDTF">2000-10-26T22:37:00Z</dcterms:modified>
  <cp:revision>5</cp:revision>
  <dc:subject/>
  <dc:title>A</dc:title>
</cp:coreProperties>
</file>