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PG&amp;E Advice Letter Summary</w:t>
      </w:r>
    </w:p>
    <w:p>
      <w:pPr>
        <w:pStyle w:val="Body"/>
        <w:widowControl/>
        <w:ind w:hanging="0" w:end="0"/>
        <w:jc w:val="center"/>
        <w:rPr/>
      </w:pPr>
      <w:r>
        <w:rPr/>
        <w:t>October 16, 2000</w:t>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c>
          <w:tcPr>
            <w:tcW w:w="5762"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10/13/00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11/2/00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May Be of Interest</w:t>
            </w:r>
          </w:p>
        </w:tc>
        <w:tc>
          <w:tcPr>
            <w:tcW w:w="5762" w:type="dxa"/>
            <w:gridSpan w:val="4"/>
            <w:tcBorders/>
            <w:tcMar>
              <w:start w:w="0" w:type="dxa"/>
              <w:end w:w="0" w:type="dxa"/>
            </w:tcMar>
          </w:tcPr>
          <w:p>
            <w:pPr>
              <w:pStyle w:val="Normal"/>
              <w:snapToGrid w:val="false"/>
              <w:rPr/>
            </w:pPr>
            <w:r>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BodyText"/>
              <w:ind w:hanging="0" w:start="180" w:end="162"/>
              <w:jc w:val="both"/>
              <w:rPr/>
            </w:pPr>
            <w:r>
              <w:rPr>
                <w:color w:val="000000"/>
              </w:rPr>
              <w:t xml:space="preserve">This advice letter </w:t>
            </w:r>
            <w:r>
              <w:rPr/>
              <w:t>submits revisions to PG&amp;E’s electric tariff sheets which are necessary as a result of the 2001 Attrition Rate Adjustment (ARA) proceeding</w:t>
            </w:r>
            <w:r>
              <w:rPr>
                <w:rStyle w:val="FootnoteCharacters"/>
              </w:rPr>
              <w:t>.</w:t>
            </w:r>
            <w:r>
              <w:rPr/>
              <w:t>.</w:t>
            </w:r>
          </w:p>
          <w:p>
            <w:pPr>
              <w:pStyle w:val="BodyText"/>
              <w:ind w:hanging="0" w:start="180" w:end="162"/>
              <w:jc w:val="both"/>
              <w:rPr/>
            </w:pPr>
            <w:r>
              <w:rPr/>
              <w:t xml:space="preserve">The purpose of the ARA filing is to increase, effective January 1, 2001, the utility’s Electric Distribution and Customer Services (Electric Distribution) revenue requirement by $188.708 million, and the Company’s Nuclear Decommissioning revenue requirement by $0.418 million to reflect an increase to Humboldt Bay Power Plant Nuclear SAFSTOR expense, for a total electric revenue requirement increase of $189.126 million.  </w:t>
            </w:r>
          </w:p>
          <w:p>
            <w:pPr>
              <w:pStyle w:val="Normal"/>
              <w:widowControl/>
              <w:ind w:start="180" w:end="162"/>
              <w:rPr/>
            </w:pPr>
            <w:r>
              <w:rPr/>
              <w:t>There will be no immediate change in electric rates as a result of this proposed ARA increase.  Instead, the total electric distribution and the nuclear decommissioning revenue requirements will be recorded in the Transition Revenue Account or its successor accounts authorized by the Commission.</w:t>
            </w:r>
          </w:p>
          <w:p>
            <w:pPr>
              <w:pStyle w:val="Normal"/>
              <w:widowControl/>
              <w:ind w:start="180" w:end="162"/>
              <w:rPr/>
            </w:pPr>
            <w:r>
              <w:rPr/>
            </w:r>
          </w:p>
          <w:p>
            <w:pPr>
              <w:pStyle w:val="Normal"/>
              <w:widowControl/>
              <w:ind w:start="180" w:end="162"/>
              <w:rPr/>
            </w:pPr>
            <w:r>
              <w:rPr/>
              <w:t>Roger Yang may want to review this filing.</w:t>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September 19,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2000-10-16T20:10:00Z</dcterms:created>
  <dc:creator>Arter &amp; Hadden</dc:creator>
  <dc:description/>
  <dc:language>en-CA</dc:language>
  <cp:lastModifiedBy>Arter &amp; Hadden</cp:lastModifiedBy>
  <cp:lastPrinted>2000-10-04T08:39:00Z</cp:lastPrinted>
  <dcterms:modified xsi:type="dcterms:W3CDTF">2000-10-16T20:13:00Z</dcterms:modified>
  <cp:revision>4</cp:revision>
  <dc:subject/>
  <dc:title>A</dc:title>
</cp:coreProperties>
</file>