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ind w:hanging="0" w:end="0"/>
        <w:jc w:val="center"/>
        <w:rPr>
          <w:b/>
          <w:bCs/>
          <w:u w:val="single"/>
        </w:rPr>
      </w:pPr>
      <w:r>
        <w:rPr>
          <w:b/>
          <w:bCs/>
          <w:u w:val="single"/>
        </w:rPr>
        <w:t>SoCalGas Advice Letter Summary</w:t>
        <w:br/>
        <w:br/>
        <w:t>October 12, 2000</w:t>
      </w:r>
    </w:p>
    <w:p>
      <w:pPr>
        <w:pStyle w:val="Body"/>
        <w:ind w:hanging="0" w:end="0"/>
        <w:jc w:val="center"/>
        <w:rPr>
          <w:b/>
          <w:bCs/>
          <w:u w:val="single"/>
        </w:rPr>
      </w:pPr>
      <w:r>
        <w:rPr>
          <w:b/>
          <w:bCs/>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1684"/>
        <w:gridCol w:w="3469"/>
      </w:tblGrid>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Date Filed</w:t>
            </w:r>
          </w:p>
        </w:tc>
        <w:tc>
          <w:tcPr>
            <w:tcW w:w="1684"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Comments Due</w:t>
            </w:r>
          </w:p>
        </w:tc>
        <w:tc>
          <w:tcPr>
            <w:tcW w:w="3469"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2965</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SoCalGas</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10/10/00</w:t>
            </w:r>
          </w:p>
        </w:tc>
        <w:tc>
          <w:tcPr>
            <w:tcW w:w="1684"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10/30/00</w:t>
            </w:r>
          </w:p>
        </w:tc>
        <w:tc>
          <w:tcPr>
            <w:tcW w:w="3469"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ind w:hanging="0" w:end="0"/>
              <w:rPr>
                <w:b/>
                <w:bCs/>
              </w:rPr>
            </w:pPr>
            <w:r>
              <w:rPr>
                <w:b/>
                <w:bCs/>
              </w:rPr>
              <w:t xml:space="preserve">Analysis:  </w:t>
            </w:r>
          </w:p>
          <w:p>
            <w:pPr>
              <w:pStyle w:val="Body"/>
              <w:spacing w:before="0" w:after="240"/>
              <w:ind w:hanging="0" w:end="0"/>
              <w:jc w:val="both"/>
              <w:rPr/>
            </w:pPr>
            <w:r>
              <w:rPr/>
              <w:t xml:space="preserve">The purpose of this Advice Letter is to implement a one-year pilot program providing for the payment of gas bills by credit card or debit card. </w:t>
            </w:r>
          </w:p>
        </w:tc>
      </w:tr>
    </w:tbl>
    <w:p>
      <w:pPr>
        <w:pStyle w:val="Body"/>
        <w:ind w:hanging="0" w:end="0"/>
        <w:jc w:val="center"/>
        <w:rPr>
          <w:b/>
          <w:bCs/>
          <w:u w:val="single"/>
        </w:rPr>
      </w:pPr>
      <w:r>
        <w:rPr>
          <w:b/>
          <w:bCs/>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1684"/>
        <w:gridCol w:w="3469"/>
      </w:tblGrid>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Date Filed</w:t>
            </w:r>
          </w:p>
        </w:tc>
        <w:tc>
          <w:tcPr>
            <w:tcW w:w="1684"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Comments Due</w:t>
            </w:r>
          </w:p>
        </w:tc>
        <w:tc>
          <w:tcPr>
            <w:tcW w:w="3469"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2958-A</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SoCalGas</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10/11/00</w:t>
            </w:r>
          </w:p>
        </w:tc>
        <w:tc>
          <w:tcPr>
            <w:tcW w:w="1684"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10/31/00</w:t>
            </w:r>
          </w:p>
        </w:tc>
        <w:tc>
          <w:tcPr>
            <w:tcW w:w="3469"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ind w:hanging="0" w:end="0"/>
              <w:rPr>
                <w:b/>
                <w:bCs/>
              </w:rPr>
            </w:pPr>
            <w:r>
              <w:rPr>
                <w:b/>
                <w:bCs/>
              </w:rPr>
              <w:t xml:space="preserve">Analysis:  </w:t>
            </w:r>
          </w:p>
          <w:p>
            <w:pPr>
              <w:pStyle w:val="Normal"/>
              <w:jc w:val="both"/>
              <w:rPr/>
            </w:pPr>
            <w:r>
              <w:rPr/>
              <w:t xml:space="preserve">The original Advice No. 2958 requested Commission authority to provide SoCalGas’ small electric generation (“EG”) customers with the option to elect core service.  Small EG customers are those customers whose usage does not exceed 20,800 therms per active month on an annualized basis for a period of any 12 contiguous months within the most recent 24-month period, as they previously had. </w:t>
            </w:r>
          </w:p>
          <w:p>
            <w:pPr>
              <w:pStyle w:val="Normal"/>
              <w:jc w:val="both"/>
              <w:rPr/>
            </w:pPr>
            <w:r>
              <w:rPr/>
            </w:r>
          </w:p>
          <w:p>
            <w:pPr>
              <w:pStyle w:val="Body"/>
              <w:spacing w:before="0" w:after="240"/>
              <w:ind w:hanging="0" w:end="0"/>
              <w:jc w:val="both"/>
              <w:rPr/>
            </w:pPr>
            <w:r>
              <w:rPr/>
              <w:t xml:space="preserve">At the request of the ORA, this supplemental advice letter clarifies that those small EG customers who wish to elect core service may elect such core service only under SoCalGas Tariff Rate Schedule No. GN-10 or Schedule No. GT-10.  Schedule No. GN-10 provides core service for small commercial and industrial customers, and Schedule No. GT-10 provides core aggregation transportation service for small commercial and industrial customers. SoCalGas’ small EG customers will not be allowed to elect core service under any other SoCalGas core rate schedules.  This advice letter also slightly modifies the Priority of Service rules to clarify the inclusion of small EG customers electing core service. </w:t>
            </w:r>
          </w:p>
        </w:tc>
      </w:tr>
    </w:tbl>
    <w:p>
      <w:pPr>
        <w:pStyle w:val="Body"/>
        <w:spacing w:before="0" w:after="0"/>
        <w:ind w:hanging="0" w:end="0"/>
        <w:jc w:val="center"/>
        <w:rPr>
          <w:b/>
          <w:bCs/>
          <w:u w:val="single"/>
        </w:rPr>
      </w:pPr>
      <w:r>
        <w:rPr>
          <w:b/>
          <w:bCs/>
          <w:u w:val="single"/>
        </w:rPr>
      </w:r>
    </w:p>
    <w:p>
      <w:pPr>
        <w:pStyle w:val="Body"/>
        <w:spacing w:before="0" w:after="240"/>
        <w:ind w:hanging="0" w:end="0"/>
        <w:jc w:val="center"/>
        <w:rPr>
          <w:b/>
          <w:bCs/>
          <w:u w:val="single"/>
        </w:rPr>
      </w:pPr>
      <w:r>
        <w:rPr>
          <w:b/>
          <w:bCs/>
          <w:u w:val="single"/>
        </w:rPr>
      </w:r>
    </w:p>
    <w:sectPr>
      <w:headerReference w:type="default" r:id="rId2"/>
      <w:headerReference w:type="first" r:id="rId3"/>
      <w:footerReference w:type="default" r:id="rId4"/>
      <w:footerReference w:type="first" r:id="rId5"/>
      <w:type w:val="nextPage"/>
      <w:pgSz w:w="12240" w:h="15840"/>
      <w:pgMar w:left="1440" w:right="1440" w:gutter="0" w:header="720" w:top="1152" w:footer="432" w:bottom="1152"/>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9" w:type="dxa"/>
      <w:jc w:val="start"/>
      <w:tblInd w:w="0" w:type="dxa"/>
      <w:tblLayout w:type="fixed"/>
      <w:tblCellMar>
        <w:top w:w="0" w:type="dxa"/>
        <w:start w:w="108" w:type="dxa"/>
        <w:bottom w:w="0" w:type="dxa"/>
        <w:end w:w="108" w:type="dxa"/>
      </w:tblCellMar>
    </w:tblPr>
    <w:tblGrid>
      <w:gridCol w:w="3802"/>
      <w:gridCol w:w="1987"/>
      <w:gridCol w:w="3690"/>
    </w:tblGrid>
    <w:tr>
      <w:trPr/>
      <w:tc>
        <w:tcPr>
          <w:tcW w:w="3802" w:type="dxa"/>
          <w:tcBorders/>
        </w:tcPr>
        <w:p>
          <w:pPr>
            <w:pStyle w:val="FooterTxt"/>
            <w:snapToGrid w:val="false"/>
            <w:rPr/>
          </w:pPr>
          <w:r>
            <w:rPr/>
          </w:r>
        </w:p>
        <w:p>
          <w:pPr>
            <w:pStyle w:val="FooterTxt"/>
            <w:rPr/>
          </w:pPr>
          <w:r>
            <w:rPr/>
          </w:r>
        </w:p>
      </w:tc>
      <w:tc>
        <w:tcPr>
          <w:tcW w:w="1987" w:type="dxa"/>
          <w:tcBorders/>
        </w:tcPr>
        <w:p>
          <w:pPr>
            <w:pStyle w:val="Norma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w:t>
          </w:r>
        </w:p>
      </w:tc>
      <w:tc>
        <w:tcPr>
          <w:tcW w:w="3690" w:type="dxa"/>
          <w:tcBorders/>
        </w:tcPr>
        <w:p>
          <w:pPr>
            <w:pStyle w:val="Normal"/>
            <w:snapToGrid w:val="false"/>
            <w:jc w:val="end"/>
            <w:rPr/>
          </w:pPr>
          <w:r>
            <w:rPr/>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5" w:type="dxa"/>
      <w:jc w:val="start"/>
      <w:tblInd w:w="0" w:type="dxa"/>
      <w:tblLayout w:type="fixed"/>
      <w:tblCellMar>
        <w:top w:w="0" w:type="dxa"/>
        <w:start w:w="108" w:type="dxa"/>
        <w:bottom w:w="0" w:type="dxa"/>
        <w:end w:w="108" w:type="dxa"/>
      </w:tblCellMar>
    </w:tblPr>
    <w:tblGrid>
      <w:gridCol w:w="3802"/>
      <w:gridCol w:w="1987"/>
      <w:gridCol w:w="3686"/>
    </w:tblGrid>
    <w:tr>
      <w:trPr/>
      <w:tc>
        <w:tcPr>
          <w:tcW w:w="3802" w:type="dxa"/>
          <w:tcBorders/>
        </w:tcPr>
        <w:p>
          <w:pPr>
            <w:pStyle w:val="FooterTxt"/>
            <w:snapToGrid w:val="false"/>
            <w:rPr/>
          </w:pPr>
          <w:r>
            <w:rPr/>
          </w:r>
        </w:p>
      </w:tc>
      <w:tc>
        <w:tcPr>
          <w:tcW w:w="1987" w:type="dxa"/>
          <w:tcBorders/>
        </w:tcPr>
        <w:p>
          <w:pPr>
            <w:pStyle w:val="Normal"/>
            <w:snapToGrid w:val="false"/>
            <w:jc w:val="center"/>
            <w:rPr/>
          </w:pPr>
          <w:r>
            <w:rPr/>
          </w:r>
        </w:p>
      </w:tc>
      <w:tc>
        <w:tcPr>
          <w:tcW w:w="3686" w:type="dxa"/>
          <w:tcBorders/>
        </w:tcPr>
        <w:p>
          <w:pPr>
            <w:pStyle w:val="Normal"/>
            <w:snapToGrid w:val="false"/>
            <w:jc w:val="end"/>
            <w:rPr/>
          </w:pPr>
          <w:r>
            <w:rPr/>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SoCalGas Advice Letter Summary</w:t>
    </w:r>
  </w:p>
  <w:p>
    <w:pPr>
      <w:pStyle w:val="Header"/>
      <w:rPr/>
    </w:pPr>
    <w:r>
      <w:rPr/>
      <w:fldChar w:fldCharType="begin"/>
    </w:r>
    <w:r>
      <w:rPr/>
      <w:instrText xml:space="preserve"> DATE \@"MMMM\ d', 'yyyy" </w:instrText>
    </w:r>
    <w:r>
      <w:rPr/>
      <w:fldChar w:fldCharType="separate"/>
    </w:r>
    <w:r>
      <w:rPr/>
      <w:t>September 28, 2025</w:t>
    </w:r>
    <w:r>
      <w:rPr/>
      <w:fldChar w:fldCharType="end"/>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Header"/>
      <w:rPr>
        <w:rStyle w:val="PageNumber"/>
      </w:rPr>
    </w:pPr>
    <w:r>
      <w:rPr/>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keepLines/>
      <w:numPr>
        <w:ilvl w:val="0"/>
        <w:numId w:val="1"/>
      </w:numPr>
      <w:jc w:val="center"/>
      <w:outlineLvl w:val="0"/>
    </w:pPr>
    <w:rPr>
      <w:b/>
      <w:bCs/>
    </w:rPr>
  </w:style>
  <w:style w:type="paragraph" w:styleId="Heading2">
    <w:name w:val="heading 2"/>
    <w:basedOn w:val="Normal"/>
    <w:next w:val="Normal"/>
    <w:qFormat/>
    <w:pPr>
      <w:numPr>
        <w:ilvl w:val="1"/>
        <w:numId w:val="1"/>
      </w:numPr>
      <w:ind w:hanging="720" w:start="1440" w:end="0"/>
      <w:outlineLvl w:val="1"/>
    </w:pPr>
    <w:rPr>
      <w:b/>
      <w:bCs/>
      <w:sz w:val="24"/>
      <w:szCs w:val="24"/>
    </w:rPr>
  </w:style>
  <w:style w:type="paragraph" w:styleId="Heading3">
    <w:name w:val="heading 3"/>
    <w:basedOn w:val="Normal"/>
    <w:next w:val="Normal"/>
    <w:qFormat/>
    <w:pPr>
      <w:numPr>
        <w:ilvl w:val="2"/>
        <w:numId w:val="1"/>
      </w:numPr>
      <w:ind w:hanging="720" w:start="2160" w:end="0"/>
      <w:outlineLvl w:val="2"/>
    </w:pPr>
    <w:rPr>
      <w:b/>
      <w:bCs/>
      <w:sz w:val="24"/>
      <w:szCs w:val="24"/>
    </w:rPr>
  </w:style>
  <w:style w:type="paragraph" w:styleId="Heading4">
    <w:name w:val="heading 4"/>
    <w:basedOn w:val="Normal"/>
    <w:next w:val="Normal"/>
    <w:qFormat/>
    <w:pPr>
      <w:numPr>
        <w:ilvl w:val="3"/>
        <w:numId w:val="1"/>
      </w:numPr>
      <w:ind w:hanging="720" w:start="2880" w:end="0"/>
      <w:outlineLvl w:val="3"/>
    </w:pPr>
    <w:rPr>
      <w:b/>
      <w:bCs/>
      <w:sz w:val="24"/>
      <w:szCs w:val="24"/>
    </w:rPr>
  </w:style>
  <w:style w:type="paragraph" w:styleId="Heading5">
    <w:name w:val="heading 5"/>
    <w:basedOn w:val="Normal"/>
    <w:next w:val="Normal"/>
    <w:qFormat/>
    <w:pPr>
      <w:numPr>
        <w:ilvl w:val="4"/>
        <w:numId w:val="1"/>
      </w:numPr>
      <w:ind w:hanging="720" w:start="3600" w:end="0"/>
      <w:outlineLvl w:val="4"/>
    </w:pPr>
    <w:rPr>
      <w:b/>
      <w:bCs/>
      <w:sz w:val="24"/>
      <w:szCs w:val="24"/>
    </w:rPr>
  </w:style>
  <w:style w:type="paragraph" w:styleId="Heading6">
    <w:name w:val="heading 6"/>
    <w:basedOn w:val="Normal"/>
    <w:next w:val="Normal"/>
    <w:qFormat/>
    <w:pPr>
      <w:numPr>
        <w:ilvl w:val="5"/>
        <w:numId w:val="1"/>
      </w:numPr>
      <w:ind w:hanging="720" w:start="4320" w:end="0"/>
      <w:outlineLvl w:val="5"/>
    </w:pPr>
    <w:rPr>
      <w:b/>
      <w:bCs/>
      <w:sz w:val="24"/>
      <w:szCs w:val="24"/>
    </w:rPr>
  </w:style>
  <w:style w:type="paragraph" w:styleId="Heading7">
    <w:name w:val="heading 7"/>
    <w:basedOn w:val="Normal"/>
    <w:next w:val="Normal"/>
    <w:qFormat/>
    <w:pPr>
      <w:numPr>
        <w:ilvl w:val="6"/>
        <w:numId w:val="1"/>
      </w:numPr>
      <w:ind w:hanging="720" w:start="5040" w:end="0"/>
      <w:outlineLvl w:val="6"/>
    </w:pPr>
    <w:rPr>
      <w:b/>
      <w:bCs/>
      <w:sz w:val="24"/>
      <w:szCs w:val="24"/>
    </w:rPr>
  </w:style>
  <w:style w:type="paragraph" w:styleId="Heading8">
    <w:name w:val="heading 8"/>
    <w:basedOn w:val="Normal"/>
    <w:next w:val="Normal"/>
    <w:qFormat/>
    <w:pPr>
      <w:numPr>
        <w:ilvl w:val="7"/>
        <w:numId w:val="1"/>
      </w:numPr>
      <w:ind w:hanging="720" w:start="5760" w:end="0"/>
      <w:outlineLvl w:val="7"/>
    </w:pPr>
    <w:rPr>
      <w:b/>
      <w:bCs/>
      <w:sz w:val="24"/>
      <w:szCs w:val="24"/>
    </w:rPr>
  </w:style>
  <w:style w:type="paragraph" w:styleId="Heading9">
    <w:name w:val="heading 9"/>
    <w:basedOn w:val="Normal"/>
    <w:next w:val="Normal"/>
    <w:qFormat/>
    <w:pPr>
      <w:numPr>
        <w:ilvl w:val="8"/>
        <w:numId w:val="1"/>
      </w:numPr>
      <w:ind w:hanging="720" w:start="6480" w:end="0"/>
      <w:outlineLvl w:val="8"/>
    </w:pPr>
    <w:rPr>
      <w:b/>
      <w:bCs/>
      <w:sz w:val="24"/>
      <w:szCs w:val="24"/>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Bold">
    <w:name w:val="Bold"/>
    <w:basedOn w:val="DefaultParagraphFont"/>
    <w:qFormat/>
    <w:rPr>
      <w:b/>
      <w:bCs/>
    </w:rPr>
  </w:style>
  <w:style w:type="character" w:styleId="BoldUnd">
    <w:name w:val="BoldUnd"/>
    <w:basedOn w:val="DefaultParagraphFont"/>
    <w:qFormat/>
    <w:rPr>
      <w:b/>
      <w:bCs/>
      <w:u w:val="single"/>
    </w:rPr>
  </w:style>
  <w:style w:type="character" w:styleId="Underline">
    <w:name w:val="Underline"/>
    <w:basedOn w:val="DefaultParagraphFont"/>
    <w:qFormat/>
    <w:rPr>
      <w:u w:val="single"/>
    </w:rPr>
  </w:style>
  <w:style w:type="character" w:styleId="FieldMark">
    <w:name w:val="FieldMark"/>
    <w:basedOn w:val="DefaultParagraphFont"/>
    <w:qFormat/>
    <w:rPr>
      <w:b/>
      <w:bCs/>
      <w:color w:val="0000FF"/>
    </w:rPr>
  </w:style>
  <w:style w:type="character" w:styleId="OptionalParas">
    <w:name w:val="OptionalParas"/>
    <w:basedOn w:val="DefaultParagraphFont"/>
    <w:qFormat/>
    <w:rPr>
      <w:color w:val="0000FF"/>
    </w:rPr>
  </w:style>
  <w:style w:type="character" w:styleId="DocTitle">
    <w:name w:val="DocTitle"/>
    <w:basedOn w:val="DefaultParagraphFont"/>
    <w:qFormat/>
    <w:rPr>
      <w:b/>
      <w:b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Flush">
    <w:name w:val="Normal Flush"/>
    <w:basedOn w:val="Normal"/>
    <w:qFormat/>
    <w:pPr/>
    <w:rPr/>
  </w:style>
  <w:style w:type="paragraph" w:styleId="BodyTextIndent">
    <w:name w:val="Body Text Indent"/>
    <w:basedOn w:val="Normal"/>
    <w:pPr>
      <w:spacing w:before="0" w:after="240"/>
      <w:ind w:hanging="0" w:start="1440" w:end="0"/>
    </w:pPr>
    <w:rPr>
      <w:sz w:val="24"/>
      <w:szCs w:val="24"/>
    </w:rPr>
  </w:style>
  <w:style w:type="paragraph" w:styleId="IndentRight">
    <w:name w:val="Indent Right"/>
    <w:basedOn w:val="Normal"/>
    <w:qFormat/>
    <w:pPr>
      <w:spacing w:before="0" w:after="240"/>
      <w:ind w:hanging="0" w:start="0" w:end="14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tyle>
  <w:style w:type="paragraph" w:styleId="FooterTxt">
    <w:name w:val="FooterTxt"/>
    <w:basedOn w:val="Footer"/>
    <w:qFormat/>
    <w:pPr/>
    <w:rPr>
      <w:sz w:val="14"/>
      <w:szCs w:val="14"/>
      <w:lang w:val="en-CA"/>
    </w:rPr>
  </w:style>
  <w:style w:type="paragraph" w:styleId="FootnoteText">
    <w:name w:val="footnote text"/>
    <w:basedOn w:val="Normal"/>
    <w:pPr>
      <w:tabs>
        <w:tab w:val="clear" w:pos="720"/>
        <w:tab w:val="left" w:pos="1080" w:leader="none"/>
      </w:tabs>
      <w:ind w:firstLine="720" w:start="0" w:end="0"/>
    </w:pPr>
    <w:rPr/>
  </w:style>
  <w:style w:type="paragraph" w:styleId="Header">
    <w:name w:val="header"/>
    <w:basedOn w:val="Normal"/>
    <w:pPr>
      <w:tabs>
        <w:tab w:val="clear" w:pos="720"/>
        <w:tab w:val="center" w:pos="4320" w:leader="none"/>
        <w:tab w:val="right" w:pos="8640" w:leader="none"/>
      </w:tabs>
    </w:pPr>
    <w:rPr>
      <w:sz w:val="24"/>
      <w:szCs w:val="24"/>
    </w:rPr>
  </w:style>
  <w:style w:type="paragraph" w:styleId="HeadingTitle">
    <w:name w:val="Heading Title"/>
    <w:basedOn w:val="Normal"/>
    <w:qFormat/>
    <w:pPr>
      <w:keepNext w:val="true"/>
      <w:keepLines/>
      <w:spacing w:before="0" w:after="240"/>
      <w:jc w:val="center"/>
    </w:pPr>
    <w:rPr>
      <w:u w:val="single"/>
    </w:rPr>
  </w:style>
  <w:style w:type="paragraph" w:styleId="IndentLeft">
    <w:name w:val="Indent Left"/>
    <w:basedOn w:val="Normal"/>
    <w:qFormat/>
    <w:pPr>
      <w:spacing w:before="0" w:after="240"/>
      <w:ind w:hanging="0" w:start="1440" w:end="0"/>
    </w:pPr>
    <w:rPr>
      <w:sz w:val="24"/>
      <w:szCs w:val="24"/>
    </w:rPr>
  </w:style>
  <w:style w:type="paragraph" w:styleId="NormalIndent">
    <w:name w:val="Normal Indent"/>
    <w:basedOn w:val="Normal"/>
    <w:qFormat/>
    <w:pPr>
      <w:spacing w:before="0" w:after="240"/>
      <w:ind w:firstLine="1440" w:start="0" w:end="0"/>
    </w:pPr>
    <w:rPr/>
  </w:style>
  <w:style w:type="paragraph" w:styleId="Center">
    <w:name w:val="Center"/>
    <w:basedOn w:val="Normal"/>
    <w:qFormat/>
    <w:pPr>
      <w:suppressAutoHyphens w:val="true"/>
      <w:spacing w:before="0" w:after="240"/>
      <w:jc w:val="center"/>
    </w:pPr>
    <w:rPr/>
  </w:style>
  <w:style w:type="paragraph" w:styleId="Table">
    <w:name w:val="Table"/>
    <w:basedOn w:val="Normal"/>
    <w:qFormat/>
    <w:pPr>
      <w:spacing w:before="40" w:after="40"/>
    </w:pPr>
    <w:rPr/>
  </w:style>
  <w:style w:type="paragraph" w:styleId="IndentLR">
    <w:name w:val="Indent L/R"/>
    <w:basedOn w:val="Normal"/>
    <w:qFormat/>
    <w:pPr>
      <w:spacing w:before="0" w:after="240"/>
      <w:ind w:hanging="0" w:start="1440" w:end="1440"/>
    </w:pPr>
    <w:rPr/>
  </w:style>
  <w:style w:type="paragraph" w:styleId="IndentBlock">
    <w:name w:val="Indent Block"/>
    <w:basedOn w:val="Normal"/>
    <w:qFormat/>
    <w:pPr>
      <w:spacing w:before="0" w:after="240"/>
      <w:ind w:hanging="720" w:start="2160" w:end="0"/>
    </w:pPr>
    <w:rPr/>
  </w:style>
  <w:style w:type="paragraph" w:styleId="Body">
    <w:name w:val="Body"/>
    <w:basedOn w:val="Normal"/>
    <w:qFormat/>
    <w:pPr>
      <w:spacing w:before="0" w:after="240"/>
      <w:ind w:firstLine="720" w:start="0" w:end="0"/>
    </w:pPr>
    <w:rPr/>
  </w:style>
  <w:style w:type="paragraph" w:styleId="IndentOneHalf">
    <w:name w:val="IndentOneHalf"/>
    <w:basedOn w:val="Body"/>
    <w:qFormat/>
    <w:pPr>
      <w:ind w:firstLine="720" w:start="720" w:end="0"/>
      <w:jc w:val="start"/>
    </w:pPr>
    <w:rPr/>
  </w:style>
  <w:style w:type="paragraph" w:styleId="IndentOneInch">
    <w:name w:val="IndentOneInch"/>
    <w:basedOn w:val="Body"/>
    <w:qFormat/>
    <w:pPr>
      <w:ind w:firstLine="720" w:start="1440" w:end="0"/>
      <w:jc w:val="start"/>
    </w:pPr>
    <w:rPr/>
  </w:style>
  <w:style w:type="paragraph" w:styleId="IndentTwoInches">
    <w:name w:val="IndentTwoInches"/>
    <w:basedOn w:val="Body"/>
    <w:qFormat/>
    <w:pPr>
      <w:ind w:firstLine="720" w:start="2880" w:end="0"/>
      <w:jc w:val="start"/>
    </w:pPr>
    <w:rPr/>
  </w:style>
  <w:style w:type="paragraph" w:styleId="TOC1">
    <w:name w:val="toc 1"/>
    <w:basedOn w:val="Normal"/>
    <w:next w:val="Normal"/>
    <w:pPr>
      <w:tabs>
        <w:tab w:val="left" w:pos="720" w:leader="none"/>
        <w:tab w:val="right" w:pos="9360" w:leader="dot"/>
      </w:tabs>
      <w:spacing w:before="240" w:after="0"/>
      <w:ind w:hanging="720" w:start="720" w:end="1440"/>
    </w:pPr>
    <w:rPr>
      <w:lang w:val="en-CA"/>
    </w:rPr>
  </w:style>
  <w:style w:type="paragraph" w:styleId="TOC2">
    <w:name w:val="toc 2"/>
    <w:basedOn w:val="Normal"/>
    <w:next w:val="Normal"/>
    <w:pPr>
      <w:tabs>
        <w:tab w:val="clear" w:pos="720"/>
        <w:tab w:val="left" w:pos="1440" w:leader="none"/>
        <w:tab w:val="right" w:pos="9360" w:leader="dot"/>
      </w:tabs>
      <w:spacing w:before="240" w:after="0"/>
      <w:ind w:hanging="720" w:start="1440" w:end="1440"/>
    </w:pPr>
    <w:rPr>
      <w:lang w:val="en-CA"/>
    </w:rPr>
  </w:style>
  <w:style w:type="paragraph" w:styleId="TOC3">
    <w:name w:val="toc 3"/>
    <w:basedOn w:val="Normal"/>
    <w:next w:val="Normal"/>
    <w:pPr>
      <w:tabs>
        <w:tab w:val="clear" w:pos="720"/>
        <w:tab w:val="left" w:pos="2160" w:leader="none"/>
        <w:tab w:val="right" w:pos="9360" w:leader="dot"/>
      </w:tabs>
      <w:spacing w:before="240" w:after="0"/>
      <w:ind w:hanging="720" w:start="2160" w:end="1440"/>
    </w:pPr>
    <w:rPr>
      <w:lang w:val="en-CA"/>
    </w:rPr>
  </w:style>
  <w:style w:type="paragraph" w:styleId="TOC4">
    <w:name w:val="toc 4"/>
    <w:basedOn w:val="Normal"/>
    <w:next w:val="Normal"/>
    <w:pPr>
      <w:tabs>
        <w:tab w:val="clear" w:pos="720"/>
        <w:tab w:val="left" w:pos="2880" w:leader="none"/>
        <w:tab w:val="right" w:pos="9360" w:leader="dot"/>
      </w:tabs>
      <w:spacing w:before="240" w:after="0"/>
      <w:ind w:hanging="720" w:start="2880" w:end="1440"/>
    </w:pPr>
    <w:rPr>
      <w:lang w:val="en-CA"/>
    </w:rPr>
  </w:style>
  <w:style w:type="paragraph" w:styleId="TOC5">
    <w:name w:val="toc 5"/>
    <w:basedOn w:val="Normal"/>
    <w:next w:val="Normal"/>
    <w:pPr>
      <w:tabs>
        <w:tab w:val="clear" w:pos="720"/>
        <w:tab w:val="left" w:pos="3600" w:leader="none"/>
        <w:tab w:val="right" w:pos="9360" w:leader="dot"/>
      </w:tabs>
      <w:spacing w:before="240" w:after="0"/>
      <w:ind w:hanging="720" w:start="3600" w:end="1440"/>
    </w:pPr>
    <w:rPr/>
  </w:style>
  <w:style w:type="paragraph" w:styleId="TOC6">
    <w:name w:val="toc 6"/>
    <w:basedOn w:val="Normal"/>
    <w:next w:val="Normal"/>
    <w:pPr>
      <w:tabs>
        <w:tab w:val="clear" w:pos="720"/>
        <w:tab w:val="left" w:pos="4320" w:leader="none"/>
        <w:tab w:val="right" w:pos="9360" w:leader="dot"/>
      </w:tabs>
      <w:spacing w:before="240" w:after="0"/>
      <w:ind w:hanging="720" w:start="4320" w:end="1440"/>
    </w:pPr>
    <w:rPr/>
  </w:style>
  <w:style w:type="paragraph" w:styleId="TOC7">
    <w:name w:val="toc 7"/>
    <w:basedOn w:val="Normal"/>
    <w:next w:val="Normal"/>
    <w:pPr>
      <w:tabs>
        <w:tab w:val="clear" w:pos="720"/>
        <w:tab w:val="left" w:pos="5040" w:leader="none"/>
        <w:tab w:val="right" w:pos="9360" w:leader="dot"/>
      </w:tabs>
      <w:spacing w:before="240" w:after="0"/>
      <w:ind w:hanging="720" w:start="5040" w:end="1440"/>
    </w:pPr>
    <w:rPr/>
  </w:style>
  <w:style w:type="paragraph" w:styleId="TOC8">
    <w:name w:val="toc 8"/>
    <w:basedOn w:val="Normal"/>
    <w:next w:val="Normal"/>
    <w:pPr>
      <w:tabs>
        <w:tab w:val="clear" w:pos="720"/>
        <w:tab w:val="left" w:pos="5760" w:leader="none"/>
        <w:tab w:val="right" w:pos="9360" w:leader="dot"/>
      </w:tabs>
      <w:spacing w:before="240" w:after="0"/>
      <w:ind w:hanging="720" w:start="5760" w:end="1440"/>
    </w:pPr>
    <w:rPr/>
  </w:style>
  <w:style w:type="paragraph" w:styleId="TOC9">
    <w:name w:val="toc 9"/>
    <w:basedOn w:val="Normal"/>
    <w:next w:val="Normal"/>
    <w:pPr>
      <w:tabs>
        <w:tab w:val="clear" w:pos="720"/>
        <w:tab w:val="left" w:pos="6480" w:leader="none"/>
        <w:tab w:val="right" w:pos="9360" w:leader="dot"/>
      </w:tabs>
      <w:spacing w:before="240" w:after="0"/>
      <w:ind w:hanging="720" w:start="6480" w:end="1440"/>
    </w:pPr>
    <w:rPr/>
  </w:style>
  <w:style w:type="paragraph" w:styleId="BodyFlush">
    <w:name w:val="BodyFlush"/>
    <w:basedOn w:val="Normal"/>
    <w:qFormat/>
    <w:pPr>
      <w:spacing w:before="0" w:after="240"/>
    </w:pPr>
    <w:rPr/>
  </w:style>
  <w:style w:type="paragraph" w:styleId="PlainText">
    <w:name w:val="Plain Text"/>
    <w:basedOn w:val="Normal"/>
    <w:qFormat/>
    <w:pPr>
      <w:widowControl w:val="false"/>
      <w:spacing w:lineRule="auto" w:line="360"/>
      <w:ind w:firstLine="720" w:start="0" w:end="0"/>
    </w:pPr>
    <w:rPr/>
  </w:style>
  <w:style w:type="paragraph" w:styleId="Body1">
    <w:name w:val="Body1"/>
    <w:basedOn w:val="Normal"/>
    <w:qFormat/>
    <w:pPr>
      <w:spacing w:before="0" w:after="240"/>
      <w:ind w:firstLine="144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Standard.dot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2000-10-12T19:19:00Z</dcterms:created>
  <dc:creator>Arter &amp; Hadden</dc:creator>
  <dc:description/>
  <dc:language>en-CA</dc:language>
  <cp:lastModifiedBy>Arter &amp; Hadden</cp:lastModifiedBy>
  <cp:lastPrinted>2000-09-30T13:28:00Z</cp:lastPrinted>
  <dcterms:modified xsi:type="dcterms:W3CDTF">2000-10-12T19:22:00Z</dcterms:modified>
  <cp:revision>3</cp:revision>
  <dc:subject/>
  <dc:title>A</dc:title>
</cp:coreProperties>
</file>