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I.</w:t>
        <w:tab/>
        <w:t>INTRODUCTION.</w:t>
      </w:r>
    </w:p>
    <w:p>
      <w:pPr>
        <w:pStyle w:val="Normal"/>
        <w:jc w:val="both"/>
        <w:rPr>
          <w:sz w:val="24"/>
        </w:rPr>
      </w:pPr>
      <w:r>
        <w:rPr>
          <w:sz w:val="24"/>
        </w:rPr>
      </w:r>
    </w:p>
    <w:p>
      <w:pPr>
        <w:pStyle w:val="BodyText"/>
        <w:ind w:firstLine="720" w:end="0"/>
        <w:jc w:val="both"/>
        <w:rPr/>
      </w:pPr>
      <w:r>
        <w:rPr/>
        <w:t>Pursuant to Rules 85 and 86 of the Rules of Practice and Procedure (“Rules”) of the California Public Utilities Commission  (“CPUC” or “Commission”), the University of California and the California State University (collectively “UC/CSU”) present this Application for Rehearing of Decision 01-09-060 (“D.01-09-060” or “the Decision”), issued on September 20, 2001.   To the extent that the Decision allows or requires utilities’ to refuse to process direct access service requests (“DASRs”) for accounts under a contract executed on or before September 20, 2001, the Decision is not supported by the factual record in this proceeding, is unlawful, and cannot be legally sustained.  UC/CSU respectfully request the CPUC to grant this application for rehearing of D.01-09-060 for the reasons set forth below to ensure that the Commission’s actions will not intrude upon lawfully executed contracts.</w:t>
      </w:r>
    </w:p>
    <w:p>
      <w:pPr>
        <w:pStyle w:val="BodyText"/>
        <w:ind w:firstLine="720" w:end="0"/>
        <w:jc w:val="both"/>
        <w:rPr/>
      </w:pPr>
      <w:r>
        <w:rPr>
          <w:bCs/>
        </w:rPr>
        <w:t>D.01-09-060 construes, applies, implements and interprets the provisions of Assembly Bill 1X.  Therefore,</w:t>
      </w:r>
      <w:r>
        <w:rPr/>
        <w:t xml:space="preserve"> Public Utilities Code §1731(c) applies, and applications for rehearing are due within 10 days after the date of the issuance of the order or decision.  The Decision was adopted on September 20, and this application is being filed on October 1, within 10 days of issuance, and therefore this application timely.</w:t>
      </w:r>
      <w:r>
        <w:rPr>
          <w:rStyle w:val="FootnoteCharacters"/>
          <w:rStyle w:val="FootnoteReference"/>
        </w:rPr>
        <w:footnoteReference w:id="2"/>
      </w:r>
    </w:p>
    <w:p>
      <w:pPr>
        <w:pStyle w:val="BodyText"/>
        <w:spacing w:lineRule="auto" w:line="240"/>
        <w:ind w:hanging="720" w:start="720" w:end="0"/>
        <w:jc w:val="both"/>
        <w:rPr>
          <w:b/>
        </w:rPr>
      </w:pPr>
      <w:r>
        <w:rPr>
          <w:b/>
        </w:rPr>
        <w:t>II.</w:t>
        <w:tab/>
        <w:t>D.01-09-060 WARRANTS REHEARING BY THE COMMISSION BECAUSE IT IS UNSUPPORTED BY THE FACTUAL RECORD, IT CONTAINS LEGAL ERROR AND EXCEEDS THE COMMISSION’S AUTHORITY TO THE EXTENT THAT IT ALLOWS OR REQUIRES UTILITIES TO REFUSE TO PROCESS DASRs FOR AN ACCOUNT UNDER A PRE-SEPTEMBER 20 CONTRACT.</w:t>
      </w:r>
    </w:p>
    <w:p>
      <w:pPr>
        <w:pStyle w:val="BodyText"/>
        <w:spacing w:lineRule="auto" w:line="240"/>
        <w:ind w:hanging="720" w:start="720" w:end="0"/>
        <w:jc w:val="both"/>
        <w:rPr>
          <w:b/>
        </w:rPr>
      </w:pPr>
      <w:r>
        <w:rPr>
          <w:b/>
        </w:rPr>
      </w:r>
    </w:p>
    <w:p>
      <w:pPr>
        <w:pStyle w:val="BodyText"/>
        <w:ind w:firstLine="720" w:end="0"/>
        <w:jc w:val="both"/>
        <w:rPr/>
      </w:pPr>
      <w:r>
        <w:rPr/>
        <w:t>D.01-09-060 prohibits the execution of any new contracts for direct access service after September 20, 2001.  (D.01-09-060, Ordering Paragraph 4.)  To the extent that it allows or requires utilities to refuse to process DASRs for an account under a pre-September 20 contract, this Decision warrants rehearing by the Commission because it is unsupported by the factual record and contains legal error.</w:t>
      </w:r>
    </w:p>
    <w:p>
      <w:pPr>
        <w:pStyle w:val="BodyText"/>
        <w:spacing w:lineRule="auto" w:line="240"/>
        <w:ind w:hanging="720" w:start="1440" w:end="0"/>
        <w:jc w:val="both"/>
        <w:rPr>
          <w:b/>
        </w:rPr>
      </w:pPr>
      <w:r>
        <w:rPr>
          <w:b/>
        </w:rPr>
        <w:t>A.</w:t>
        <w:tab/>
        <w:t>There is no factual basis or evidentiary support for the Decision to the extent that it allows or requires utilities to refuse to process DASRs for an account under a pre-September 20 contract.</w:t>
      </w:r>
    </w:p>
    <w:p>
      <w:pPr>
        <w:pStyle w:val="BodyText"/>
        <w:spacing w:lineRule="auto" w:line="240"/>
        <w:ind w:hanging="720" w:start="720" w:end="0"/>
        <w:jc w:val="both"/>
        <w:rPr>
          <w:b/>
        </w:rPr>
      </w:pPr>
      <w:r>
        <w:rPr>
          <w:b/>
        </w:rPr>
        <w:tab/>
      </w:r>
    </w:p>
    <w:p>
      <w:pPr>
        <w:pStyle w:val="BodyText"/>
        <w:ind w:firstLine="720" w:end="0"/>
        <w:jc w:val="both"/>
        <w:rPr>
          <w:bCs/>
        </w:rPr>
      </w:pPr>
      <w:r>
        <w:rPr>
          <w:bCs/>
        </w:rPr>
        <w:t xml:space="preserve">To the extent that it allows or requires utilities to refuse to process DASRs for an account under a pre-September 20 contract, the Decision’s findings of fact are not supported by the record in this proceeding.  If a decision of the Commission is not supported by its findings, then the decision must be reversed.  (Public Utilities Code, §1757.1(a)(4).)   The findings are not supported by substantial evidence in the record, since there is no evidentiary record on the issue of the suspension of direct access in this proceeding, as the Commission elected not to conduct hearings.    </w:t>
      </w:r>
    </w:p>
    <w:p>
      <w:pPr>
        <w:pStyle w:val="BodyText"/>
        <w:ind w:firstLine="720" w:end="0"/>
        <w:jc w:val="both"/>
        <w:rPr>
          <w:bCs/>
        </w:rPr>
      </w:pPr>
      <w:r>
        <w:rPr>
          <w:bCs/>
        </w:rPr>
        <w:t>There are only two findings of fact in the decision, and neither supports the Commission’s decision.  The CPUC bases its decision on a finding that “an emergency exists in the electricity market in California.”  (D.01-09-060, Finding of Fact No. 1.) There is no evidence in this proceeding which supports this finding.  The CPUC bases this finding on the Governor’s Proclamation back in January; however, circumstances have changed and the Commission cites no facts to support the finding of a continued emergency.  Without an adequate evidentiary record, this finding of fact is unsupported and the Decision cannot stand.  More fundamentally, the Decision is flawed in that it fails to explain how the suspension of direct access effective immediately, and possibly retroactively, relates to or alleviates the emergency declared by the Governor in January.</w:t>
      </w:r>
    </w:p>
    <w:p>
      <w:pPr>
        <w:pStyle w:val="BodyText"/>
        <w:ind w:firstLine="720" w:end="0"/>
        <w:jc w:val="both"/>
        <w:rPr/>
      </w:pPr>
      <w:r>
        <w:rPr>
          <w:bCs/>
        </w:rPr>
        <w:t xml:space="preserve">The CPUC also bases its decision on Water Code </w:t>
      </w:r>
      <w:r>
        <w:rPr/>
        <w:t>§</w:t>
      </w:r>
      <w:r>
        <w:rPr>
          <w:bCs/>
        </w:rPr>
        <w:t>80110, which directs the Commission to determine when the right of retail end use customers to acquire service from other providers shall be suspended.  (D.01-09-060, Finding of Fact No. 2.)   However, the Commission never held hearings on this matter to determine the appropriate time to suspend direct access.   Rather, the Commission has relied upon information submitted by non-parties</w:t>
      </w:r>
      <w:r>
        <w:rPr>
          <w:rStyle w:val="FootnoteCharacters"/>
          <w:rStyle w:val="FootnoteReference"/>
          <w:bCs/>
        </w:rPr>
        <w:footnoteReference w:id="3"/>
      </w:r>
      <w:r>
        <w:rPr>
          <w:bCs/>
        </w:rPr>
        <w:t xml:space="preserve"> that without the immediate suspension of direct access, the State of California will be unable to sell bonds with the investment grade ratings required by law.</w:t>
      </w:r>
      <w:r>
        <w:rPr>
          <w:rStyle w:val="FootnoteCharacters"/>
          <w:rStyle w:val="FootnoteReference"/>
          <w:bCs/>
        </w:rPr>
        <w:footnoteReference w:id="4"/>
      </w:r>
      <w:r>
        <w:rPr>
          <w:bCs/>
        </w:rPr>
        <w:t xml:space="preserve">  (D.01-09-060 at p. 4.)</w:t>
      </w:r>
    </w:p>
    <w:p>
      <w:pPr>
        <w:pStyle w:val="BodyText"/>
        <w:ind w:firstLine="720" w:end="0"/>
        <w:jc w:val="both"/>
        <w:rPr/>
      </w:pPr>
      <w:r>
        <w:rPr>
          <w:bCs/>
        </w:rPr>
        <w:t>There is no evidence and parties have not been allowed to participate in evidentiary hearings testing the validity of the Commission’s assertion that “suspending the right to acquire direct access service will help ensure the recovery of DWR’s costs and, thus, successful issuance of the bonds …”  (D.01-09-060 at p. 4.)   Rather, the Commission unilaterally has determined that the suspension of direct access is necessary at this time.  This decision</w:t>
      </w:r>
      <w:r>
        <w:rPr/>
        <w:t xml:space="preserve"> drastically alters an existing market and such action legally cannot be taken without a careful review of the alternatives and a deliberative process that protects the due process rights of the market participants.  </w:t>
      </w:r>
      <w:r>
        <w:rPr>
          <w:bCs/>
        </w:rPr>
        <w:t xml:space="preserve">UC/CSU submit that, to the extent that the Decision allows or requires utilities to refuse to process DASRs for accounts under a pre-September 20 contract, it is unsupported by the facts.  </w:t>
      </w:r>
    </w:p>
    <w:p>
      <w:pPr>
        <w:pStyle w:val="BodyText"/>
        <w:spacing w:lineRule="auto" w:line="240"/>
        <w:ind w:hanging="720" w:start="1440" w:end="0"/>
        <w:jc w:val="both"/>
        <w:rPr>
          <w:bCs/>
        </w:rPr>
      </w:pPr>
      <w:r>
        <w:rPr>
          <w:b/>
        </w:rPr>
        <w:t>B.</w:t>
      </w:r>
      <w:r>
        <w:rPr>
          <w:bCs/>
        </w:rPr>
        <w:tab/>
      </w:r>
      <w:r>
        <w:rPr>
          <w:b/>
        </w:rPr>
        <w:t>The Decision contains legal error because it threatens retroactivity which is contrary to law and in excess of the Commission’s authority.</w:t>
      </w:r>
    </w:p>
    <w:p>
      <w:pPr>
        <w:pStyle w:val="BodyText"/>
        <w:spacing w:lineRule="auto" w:line="240"/>
        <w:ind w:firstLine="720" w:end="0"/>
        <w:jc w:val="both"/>
        <w:rPr>
          <w:bCs/>
        </w:rPr>
      </w:pPr>
      <w:r>
        <w:rPr>
          <w:bCs/>
        </w:rPr>
      </w:r>
    </w:p>
    <w:p>
      <w:pPr>
        <w:pStyle w:val="BodyText"/>
        <w:ind w:firstLine="720" w:end="0"/>
        <w:jc w:val="both"/>
        <w:rPr/>
      </w:pPr>
      <w:r>
        <w:rPr>
          <w:bCs/>
        </w:rPr>
        <w:t xml:space="preserve">The Decision states that the CPUC “reserves for a future decision how, if at all, we should effect contracts executed or agreements entered into before the effective date of this decision.”  (D.01-09-060 at p. 7.)  </w:t>
      </w:r>
      <w:r>
        <w:rPr/>
        <w:t xml:space="preserve">The Commission also specifically reserves the right to modify this order to include the suspension of all direct access contracts executed, agreements entered into or arrangements made on or after July 1, 2001.  (D.01-09-060, Conclusion of Law No. 5.) </w:t>
      </w:r>
      <w:r>
        <w:rPr>
          <w:bCs/>
        </w:rPr>
        <w:t xml:space="preserve">The threat of retroactive suspension of direct access is contrary to law and in excess of the Commission’s authority.   </w:t>
      </w:r>
    </w:p>
    <w:p>
      <w:pPr>
        <w:pStyle w:val="BodyText"/>
        <w:ind w:firstLine="720" w:end="0"/>
        <w:jc w:val="both"/>
        <w:rPr/>
      </w:pPr>
      <w:r>
        <w:rPr>
          <w:bCs/>
        </w:rPr>
        <w:t xml:space="preserve">The CPUC’s authority under Water Code </w:t>
      </w:r>
      <w:r>
        <w:rPr/>
        <w:t>§</w:t>
      </w:r>
      <w:r>
        <w:rPr>
          <w:bCs/>
        </w:rPr>
        <w:t xml:space="preserve">80110 is prospective in nature and does not allow retroactive application.  The Commission cannot issue a final decision instituting retroactive application without violating Water Code </w:t>
      </w:r>
      <w:r>
        <w:rPr>
          <w:rFonts w:cs="Courier New" w:ascii="Courier New" w:hAnsi="Courier New"/>
          <w:bCs/>
        </w:rPr>
        <w:t>§</w:t>
      </w:r>
      <w:r>
        <w:rPr>
          <w:bCs/>
        </w:rPr>
        <w:t xml:space="preserve">80110.  Moreover, the CPUC has no authority to interfere with private contracts.  </w:t>
      </w:r>
    </w:p>
    <w:p>
      <w:pPr>
        <w:pStyle w:val="BodyText"/>
        <w:ind w:firstLine="720" w:end="0"/>
        <w:jc w:val="both"/>
        <w:rPr/>
      </w:pPr>
      <w:r>
        <w:rPr/>
        <w:t xml:space="preserve">The Decision also states, “The effect to be given to contracts executed … before today [September 20, 2001], including renewals of such contracts, … will be addressed in a subsequent decision.”  (D.01-09-060, Conclusion of Law No. 4.)  This language is of paramount concern to UC/CSU, as well as other customers and energy service providers.  There is no factual or legal basis for the Commission to interfere with customer’s existing contractual rights to extend the terms of the contracts through a renewal.  Neither of these conclusions of law is supported by a factual record.   More importantly, these conclusions of law are unlawful and exceed the Commission’s authority.   </w:t>
      </w:r>
    </w:p>
    <w:p>
      <w:pPr>
        <w:pStyle w:val="BodyText"/>
        <w:ind w:firstLine="720" w:end="0"/>
        <w:jc w:val="both"/>
        <w:rPr>
          <w:bCs/>
        </w:rPr>
      </w:pPr>
      <w:r>
        <w:rPr/>
        <w:t>UC/CSU strongly believe that the CPUC must allow consumers with current direct access contracts, such as UC/CSU, to continue on direct access service and cannot let a decision which threatens to interfere with existing contracts and the ability to renew such contracts stand.</w:t>
      </w:r>
      <w:r>
        <w:rPr>
          <w:rStyle w:val="FootnoteCharacters"/>
          <w:rStyle w:val="FootnoteReference"/>
        </w:rPr>
        <w:footnoteReference w:id="5"/>
      </w:r>
      <w:r>
        <w:rPr/>
        <w:t xml:space="preserve">  Article I, §10 of the United States Constitution provides that no state shall pass a law that impairs the obligations of contracts.  The CPUC cannot reserve its right to revise its order to suspend or interfere with valid direct access contracts executed on or before September 20, 2001.  Such an action constitutes a violation of the Contracts Clause of the California State Constitution.   Since the Commission cannot legally reserve such a right, the Decision contains legal error and the Commission must vacate this Order. </w:t>
      </w:r>
    </w:p>
    <w:p>
      <w:pPr>
        <w:pStyle w:val="BodyText"/>
        <w:spacing w:lineRule="auto" w:line="240"/>
        <w:ind w:hanging="720" w:start="720" w:end="0"/>
        <w:jc w:val="both"/>
        <w:rPr>
          <w:b/>
        </w:rPr>
      </w:pPr>
      <w:r>
        <w:rPr>
          <w:b/>
        </w:rPr>
        <w:t>III.</w:t>
        <w:tab/>
        <w:t>THE COMMISSION MUST GRANT THIS APPLICATION FOR REHEARING IN ORDER TO CLARIFY THAT THE UTILITIES ARE REQUIRED TO CONTINUE TO PROCESS DASRs FOR ALL ACCOUNTS UNDER AN EXISTING CONTRACT.</w:t>
      </w:r>
    </w:p>
    <w:p>
      <w:pPr>
        <w:pStyle w:val="BodyText"/>
        <w:spacing w:lineRule="auto" w:line="240"/>
        <w:ind w:hanging="720" w:start="720" w:end="0"/>
        <w:jc w:val="both"/>
        <w:rPr>
          <w:b/>
        </w:rPr>
      </w:pPr>
      <w:r>
        <w:rPr>
          <w:b/>
        </w:rPr>
      </w:r>
    </w:p>
    <w:p>
      <w:pPr>
        <w:pStyle w:val="Heading4"/>
        <w:rPr/>
      </w:pPr>
      <w:r>
        <w:rPr/>
        <w:t>A.</w:t>
        <w:tab/>
        <w:t>Factual Background</w:t>
      </w:r>
    </w:p>
    <w:p>
      <w:pPr>
        <w:pStyle w:val="Normal"/>
        <w:rPr/>
      </w:pPr>
      <w:r>
        <w:rPr/>
      </w:r>
    </w:p>
    <w:p>
      <w:pPr>
        <w:pStyle w:val="Normal"/>
        <w:spacing w:lineRule="auto" w:line="480"/>
        <w:jc w:val="both"/>
        <w:rPr/>
      </w:pPr>
      <w:r>
        <w:rPr>
          <w:b/>
          <w:bCs/>
          <w:sz w:val="24"/>
        </w:rPr>
        <w:tab/>
      </w:r>
      <w:r>
        <w:rPr>
          <w:sz w:val="24"/>
        </w:rPr>
        <w:t>UC/CSU entered into a system-wide contract with Enron Energy Services, Inc. for direct access service in early 1998.  Under the terms of the contract, all existing and new UC/CSU accounts are eligible to be on direct access service.   DASRs were filed in 1998 with the utilities for the majority of the accounts for the UC/CSU campuses, which were then placed on direct access service.</w:t>
      </w:r>
      <w:r>
        <w:rPr>
          <w:b/>
          <w:bCs/>
          <w:sz w:val="24"/>
        </w:rPr>
        <w:t xml:space="preserve"> </w:t>
      </w:r>
      <w:r>
        <w:rPr>
          <w:sz w:val="24"/>
        </w:rPr>
        <w:t xml:space="preserve">The Universities retained the right to switch the remaining campus accounts to direct access service at any point during the term of the contract.  In addition, new accounts are being added to UC/CSU campuses as new buildings are constructed or new facilities purchased.  The campuses also need to have the ongoing administrative capability for adding or changing account numbers so that the University finance offices do not have to validate bills from multiple electricity suppliers. </w:t>
      </w:r>
    </w:p>
    <w:p>
      <w:pPr>
        <w:pStyle w:val="Normal"/>
        <w:spacing w:lineRule="auto" w:line="480"/>
        <w:jc w:val="both"/>
        <w:rPr>
          <w:sz w:val="24"/>
        </w:rPr>
      </w:pPr>
      <w:r>
        <w:rPr>
          <w:sz w:val="24"/>
        </w:rPr>
        <w:tab/>
        <w:t xml:space="preserve">The situation for UC/CSU is not unique.  There are customers, with direct access contracts executed on or before September 20, 2001, who have accounts that do not have a DASR filed with the utility.   Nevertheless, under contracts executed before September 20, these accounts are eligible for direct access service and the energy service provider (“ESP”) for those customers is lawfully required to move those account to direct access service if requested.  </w:t>
      </w:r>
    </w:p>
    <w:p>
      <w:pPr>
        <w:pStyle w:val="Normal"/>
        <w:spacing w:lineRule="auto" w:line="480"/>
        <w:ind w:firstLine="720" w:end="0"/>
        <w:jc w:val="both"/>
        <w:rPr>
          <w:sz w:val="24"/>
        </w:rPr>
      </w:pPr>
      <w:r>
        <w:rPr>
          <w:sz w:val="24"/>
        </w:rPr>
        <w:t>Inevitability, there will be DASRs filed well beyond September 20, 2001, and the utilities must have clear direction from the CPUC that they are required to process such DASRs, so long as they are submitted pursuant to a contract executed on or before September 20, 2001.</w:t>
      </w:r>
    </w:p>
    <w:p>
      <w:pPr>
        <w:pStyle w:val="BodyText2"/>
        <w:ind w:hanging="720" w:start="1440" w:end="0"/>
        <w:rPr>
          <w:sz w:val="24"/>
        </w:rPr>
      </w:pPr>
      <w:r>
        <w:rPr>
          <w:sz w:val="24"/>
        </w:rPr>
        <w:t>B.</w:t>
        <w:tab/>
        <w:t>Neither the utilities nor the Commission can lawfully set a deadline for submitting DASRs for accounts under a direct access service contract executed on or before September 20, 2001.</w:t>
        <w:tab/>
      </w:r>
    </w:p>
    <w:p>
      <w:pPr>
        <w:pStyle w:val="Normal"/>
        <w:jc w:val="both"/>
        <w:rPr>
          <w:b/>
          <w:bCs/>
          <w:sz w:val="24"/>
        </w:rPr>
      </w:pPr>
      <w:r>
        <w:rPr>
          <w:b/>
          <w:bCs/>
          <w:sz w:val="24"/>
        </w:rPr>
      </w:r>
    </w:p>
    <w:p>
      <w:pPr>
        <w:pStyle w:val="Normal"/>
        <w:spacing w:lineRule="auto" w:line="480"/>
        <w:ind w:firstLine="720" w:end="0"/>
        <w:jc w:val="both"/>
        <w:rPr>
          <w:sz w:val="24"/>
        </w:rPr>
      </w:pPr>
      <w:r>
        <w:rPr>
          <w:sz w:val="24"/>
        </w:rPr>
        <w:t xml:space="preserve">The utilities cannot arbitrarily set a deadline after which they refuse to process DASRs without interfering with existing contractual rights and obligations.  The CPUC must make clear that there is no deadline for submitting DASRs for accounts that are under a contract lawfully executed on or before September 20, 2001.   </w:t>
      </w:r>
    </w:p>
    <w:p>
      <w:pPr>
        <w:pStyle w:val="Normal"/>
        <w:spacing w:lineRule="auto" w:line="480"/>
        <w:jc w:val="both"/>
        <w:rPr/>
      </w:pPr>
      <w:r>
        <w:rPr>
          <w:sz w:val="24"/>
        </w:rPr>
        <w:tab/>
        <w:t>D.01-09-060 directs that “PG&amp;E, SCE, and SDG&amp;E shall not accept any direct access service requests for any contracts executed or agreements entered into after September 20, 2001.”  (D.01-09-060, Ordering Paragraph 7.)  While this language is clear enough – that the utilities cannot accept DASRs for post-September 20, 2001 contracts or agreements – the CPUC needs to clarify that the utilities must accept DASRs for pre-September 20, 2001 contracts or agreements.</w:t>
      </w:r>
      <w:r>
        <w:rPr>
          <w:rStyle w:val="FootnoteCharacters"/>
          <w:rStyle w:val="FootnoteReference"/>
          <w:sz w:val="24"/>
        </w:rPr>
        <w:footnoteReference w:id="6"/>
      </w:r>
      <w:r>
        <w:rPr>
          <w:sz w:val="24"/>
        </w:rPr>
        <w:t xml:space="preserve">  </w:t>
        <w:tab/>
      </w:r>
    </w:p>
    <w:p>
      <w:pPr>
        <w:pStyle w:val="Normal"/>
        <w:spacing w:lineRule="auto" w:line="480"/>
        <w:ind w:firstLine="720" w:end="0"/>
        <w:jc w:val="both"/>
        <w:rPr>
          <w:sz w:val="24"/>
        </w:rPr>
      </w:pPr>
      <w:r>
        <w:rPr>
          <w:sz w:val="24"/>
        </w:rPr>
        <w:t xml:space="preserve">The CPUC cannot preclude customers from exercising their existing contract rights, nor can the CPUC preclude ESPs from fulfilling their obligations under valid contracts.  Therefore, the CPUC must clarify D.01-09-060 so that each utility understands its obligation to process DASRs, filed at any time, for accounts that are under a contract executed on or before September 20, 2001.  </w:t>
      </w:r>
    </w:p>
    <w:p>
      <w:pPr>
        <w:pStyle w:val="Normal"/>
        <w:spacing w:lineRule="auto" w:line="480"/>
        <w:jc w:val="both"/>
        <w:rPr>
          <w:sz w:val="24"/>
        </w:rPr>
      </w:pPr>
      <w:r>
        <w:rPr>
          <w:sz w:val="24"/>
        </w:rPr>
        <w:tab/>
        <w:t xml:space="preserve">To the extent that the Commission may consider that its Decision provides that there is a time limit for the filing of DASRs for accounts under pre-September 20 contracts, the Decision is unlawful and cannot stand.  The Commission cannot limit the filing of DASRs for accounts that are under a direct access contract executed on or before September 20, 2001 without interfering with contractual rights of the parties.  Such a move would be in violation of the Contracts clause of both the Federal and the California State Constitution.  The Decision cannot allow the utilities to set a deadline for the submission of DASRs, and the Commission cannot authorize such action without abrogating existing contracts. </w:t>
      </w:r>
    </w:p>
    <w:p>
      <w:pPr>
        <w:pStyle w:val="Normal"/>
        <w:spacing w:lineRule="auto" w:line="480"/>
        <w:jc w:val="both"/>
        <w:rPr>
          <w:sz w:val="24"/>
        </w:rPr>
      </w:pPr>
      <w:r>
        <w:rPr>
          <w:sz w:val="24"/>
        </w:rPr>
        <w:t>//</w:t>
      </w:r>
    </w:p>
    <w:p>
      <w:pPr>
        <w:pStyle w:val="Normal"/>
        <w:spacing w:lineRule="auto" w:line="480"/>
        <w:jc w:val="both"/>
        <w:rPr>
          <w:sz w:val="24"/>
        </w:rPr>
      </w:pPr>
      <w:r>
        <w:rPr>
          <w:sz w:val="24"/>
        </w:rPr>
        <w:t>//</w:t>
      </w:r>
    </w:p>
    <w:p>
      <w:pPr>
        <w:pStyle w:val="Normal"/>
        <w:spacing w:lineRule="auto" w:line="480"/>
        <w:jc w:val="both"/>
        <w:rPr>
          <w:sz w:val="24"/>
        </w:rPr>
      </w:pPr>
      <w:r>
        <w:rPr>
          <w:sz w:val="24"/>
        </w:rPr>
        <w:t>//</w:t>
      </w:r>
    </w:p>
    <w:p>
      <w:pPr>
        <w:pStyle w:val="Normal"/>
        <w:spacing w:lineRule="auto" w:line="480"/>
        <w:jc w:val="both"/>
        <w:rPr>
          <w:sz w:val="24"/>
        </w:rPr>
      </w:pPr>
      <w:r>
        <w:rPr>
          <w:sz w:val="24"/>
        </w:rPr>
        <w:t>//</w:t>
      </w:r>
    </w:p>
    <w:p>
      <w:pPr>
        <w:pStyle w:val="Normal"/>
        <w:spacing w:lineRule="auto" w:line="480"/>
        <w:jc w:val="both"/>
        <w:rPr>
          <w:sz w:val="24"/>
        </w:rPr>
      </w:pPr>
      <w:r>
        <w:rPr>
          <w:sz w:val="24"/>
        </w:rPr>
        <w:t>//</w:t>
      </w:r>
    </w:p>
    <w:p>
      <w:pPr>
        <w:pStyle w:val="BodyText"/>
        <w:jc w:val="both"/>
        <w:rPr>
          <w:b/>
        </w:rPr>
      </w:pPr>
      <w:r>
        <w:rPr>
          <w:b/>
        </w:rPr>
        <w:t>IV.</w:t>
        <w:tab/>
        <w:t>CONCLUSION.</w:t>
      </w:r>
    </w:p>
    <w:p>
      <w:pPr>
        <w:pStyle w:val="BodyTextIndent"/>
        <w:ind w:firstLine="720" w:start="0" w:end="0"/>
        <w:jc w:val="both"/>
        <w:rPr/>
      </w:pPr>
      <w:r>
        <w:rPr/>
        <w:t xml:space="preserve">For all the foregoing reasons, UC/CSU requests that the Commission grant this rehearing of D.01-09-060.  </w:t>
      </w:r>
    </w:p>
    <w:p>
      <w:pPr>
        <w:pStyle w:val="BodyTextIndent"/>
        <w:spacing w:lineRule="auto" w:line="240"/>
        <w:jc w:val="both"/>
        <w:rPr/>
      </w:pPr>
      <w:r>
        <w:rPr/>
        <w:tab/>
        <w:tab/>
        <w:tab/>
        <w:tab/>
        <w:tab/>
        <w:tab/>
        <w:t>Respectfully submitted,</w:t>
      </w:r>
    </w:p>
    <w:p>
      <w:pPr>
        <w:pStyle w:val="BodyTextIndent"/>
        <w:spacing w:lineRule="auto" w:line="240"/>
        <w:jc w:val="both"/>
        <w:rPr/>
      </w:pPr>
      <w:r>
        <w:rPr/>
      </w:r>
    </w:p>
    <w:p>
      <w:pPr>
        <w:pStyle w:val="BodyTextIndent"/>
        <w:spacing w:lineRule="auto" w:line="240"/>
        <w:jc w:val="both"/>
        <w:rPr/>
      </w:pPr>
      <w:r>
        <w:rPr/>
      </w:r>
    </w:p>
    <w:p>
      <w:pPr>
        <w:pStyle w:val="BodyTextIndent"/>
        <w:spacing w:lineRule="auto" w:line="240"/>
        <w:jc w:val="both"/>
        <w:rPr/>
      </w:pPr>
      <w:r>
        <w:rPr/>
      </w:r>
    </w:p>
    <w:p>
      <w:pPr>
        <w:pStyle w:val="BodyTextIndent"/>
        <w:spacing w:lineRule="auto" w:line="240"/>
        <w:jc w:val="both"/>
        <w:rPr/>
      </w:pPr>
      <w:r>
        <w:rPr/>
        <w:tab/>
        <w:tab/>
        <w:tab/>
        <w:tab/>
        <w:tab/>
        <w:tab/>
        <w:t>By:</w:t>
        <w:tab/>
        <w:t>____________________________</w:t>
      </w:r>
    </w:p>
    <w:p>
      <w:pPr>
        <w:pStyle w:val="BodyTextIndent"/>
        <w:spacing w:lineRule="auto" w:line="240"/>
        <w:ind w:firstLine="360" w:end="0"/>
        <w:jc w:val="both"/>
        <w:rPr/>
      </w:pPr>
      <w:r>
        <w:rPr/>
        <w:tab/>
        <w:tab/>
        <w:tab/>
        <w:tab/>
        <w:tab/>
        <w:tab/>
        <w:tab/>
        <w:t xml:space="preserve">Kelly R. Tilton </w:t>
      </w:r>
    </w:p>
    <w:p>
      <w:pPr>
        <w:pStyle w:val="BodyTextIndent"/>
        <w:spacing w:lineRule="auto" w:line="240"/>
        <w:jc w:val="both"/>
        <w:rPr/>
      </w:pPr>
      <w:r>
        <w:rPr/>
      </w:r>
    </w:p>
    <w:p>
      <w:pPr>
        <w:pStyle w:val="BodyTextIndent"/>
        <w:spacing w:lineRule="auto" w:line="240"/>
        <w:jc w:val="both"/>
        <w:rPr/>
      </w:pPr>
      <w:r>
        <w:rPr/>
        <w:tab/>
        <w:tab/>
        <w:tab/>
        <w:tab/>
        <w:tab/>
        <w:tab/>
        <w:t>Dian M. Grueneich</w:t>
      </w:r>
    </w:p>
    <w:p>
      <w:pPr>
        <w:pStyle w:val="BodyTextIndent"/>
        <w:spacing w:lineRule="auto" w:line="240"/>
        <w:jc w:val="both"/>
        <w:rPr/>
      </w:pPr>
      <w:r>
        <w:rPr/>
        <w:tab/>
        <w:tab/>
        <w:tab/>
        <w:tab/>
        <w:tab/>
        <w:tab/>
        <w:t>Kelly R. Tilton</w:t>
      </w:r>
    </w:p>
    <w:p>
      <w:pPr>
        <w:pStyle w:val="BodyTextIndent"/>
        <w:spacing w:lineRule="auto" w:line="240"/>
        <w:jc w:val="both"/>
        <w:rPr/>
      </w:pPr>
      <w:r>
        <w:rPr/>
        <w:tab/>
        <w:tab/>
        <w:tab/>
        <w:tab/>
        <w:tab/>
        <w:tab/>
        <w:t>GRUENEICH RESOURCE ADVOCATES</w:t>
      </w:r>
    </w:p>
    <w:p>
      <w:pPr>
        <w:pStyle w:val="BodyTextIndent"/>
        <w:spacing w:lineRule="auto" w:line="240"/>
        <w:jc w:val="both"/>
        <w:rPr/>
      </w:pPr>
      <w:r>
        <w:rPr/>
        <w:tab/>
        <w:tab/>
        <w:tab/>
        <w:tab/>
        <w:tab/>
        <w:tab/>
        <w:t>582 Market Street, Suite 1020</w:t>
      </w:r>
    </w:p>
    <w:p>
      <w:pPr>
        <w:pStyle w:val="BodyTextIndent"/>
        <w:spacing w:lineRule="auto" w:line="240"/>
        <w:jc w:val="both"/>
        <w:rPr/>
      </w:pPr>
      <w:r>
        <w:rPr/>
        <w:tab/>
        <w:tab/>
        <w:tab/>
        <w:tab/>
        <w:tab/>
        <w:tab/>
        <w:t>San Francisco, CA  94102</w:t>
      </w:r>
    </w:p>
    <w:p>
      <w:pPr>
        <w:pStyle w:val="BodyTextIndent"/>
        <w:spacing w:lineRule="auto" w:line="240"/>
        <w:jc w:val="both"/>
        <w:rPr/>
      </w:pPr>
      <w:r>
        <w:rPr/>
        <w:t xml:space="preserve"> </w:t>
      </w:r>
      <w:r>
        <w:rPr/>
        <w:tab/>
        <w:tab/>
        <w:tab/>
        <w:tab/>
        <w:tab/>
        <w:tab/>
        <w:t>Telephone:</w:t>
        <w:tab/>
        <w:t>(415) 834-2300</w:t>
      </w:r>
    </w:p>
    <w:p>
      <w:pPr>
        <w:pStyle w:val="BodyTextIndent"/>
        <w:spacing w:lineRule="auto" w:line="240"/>
        <w:jc w:val="both"/>
        <w:rPr/>
      </w:pPr>
      <w:r>
        <w:rPr/>
        <w:tab/>
        <w:tab/>
        <w:tab/>
        <w:tab/>
        <w:tab/>
        <w:tab/>
        <w:t>Facsimile:</w:t>
        <w:tab/>
        <w:t>(415) 834-2310</w:t>
        <w:tab/>
      </w:r>
    </w:p>
    <w:p>
      <w:pPr>
        <w:pStyle w:val="BodyTextIndent"/>
        <w:spacing w:lineRule="auto" w:line="240"/>
        <w:jc w:val="both"/>
        <w:rPr/>
      </w:pPr>
      <w:r>
        <w:rPr/>
        <w:tab/>
        <w:tab/>
        <w:tab/>
        <w:tab/>
        <w:tab/>
        <w:tab/>
        <w:t>E-Mail:</w:t>
        <w:tab/>
        <w:t>dgrueneich@gralegal.com</w:t>
      </w:r>
    </w:p>
    <w:p>
      <w:pPr>
        <w:pStyle w:val="BodyTextIndent"/>
        <w:spacing w:lineRule="auto" w:line="240"/>
        <w:jc w:val="both"/>
        <w:rPr/>
      </w:pPr>
      <w:r>
        <w:rPr/>
        <w:tab/>
        <w:tab/>
        <w:tab/>
        <w:tab/>
        <w:tab/>
        <w:tab/>
        <w:tab/>
        <w:tab/>
        <w:t>ktilton@gralegal.com</w:t>
      </w:r>
    </w:p>
    <w:p>
      <w:pPr>
        <w:pStyle w:val="BodyTextIndent"/>
        <w:spacing w:lineRule="auto" w:line="240"/>
        <w:jc w:val="both"/>
        <w:rPr/>
      </w:pPr>
      <w:r>
        <w:rPr/>
        <w:tab/>
        <w:tab/>
        <w:tab/>
        <w:tab/>
        <w:tab/>
        <w:tab/>
        <w:t>Attorneys for</w:t>
      </w:r>
    </w:p>
    <w:p>
      <w:pPr>
        <w:pStyle w:val="BodyTextIndent"/>
        <w:spacing w:lineRule="auto" w:line="240"/>
        <w:jc w:val="both"/>
        <w:rPr/>
      </w:pPr>
      <w:r>
        <w:rPr/>
        <w:tab/>
        <w:tab/>
        <w:tab/>
        <w:tab/>
        <w:tab/>
        <w:tab/>
        <w:t>UNIVERSITY OF CALIFORNIA and</w:t>
      </w:r>
    </w:p>
    <w:p>
      <w:pPr>
        <w:pStyle w:val="BodyTextIndent"/>
        <w:spacing w:lineRule="auto" w:line="240"/>
        <w:ind w:start="0" w:end="0"/>
        <w:jc w:val="both"/>
        <w:rPr/>
      </w:pPr>
      <w:r>
        <w:rPr/>
        <w:t>October 1, 2001</w:t>
        <w:tab/>
        <w:tab/>
        <w:tab/>
        <w:tab/>
        <w:t>CALIFORNIA STATE UNIVERSITY</w:t>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/mnt/main-storage/datasets/enron-docs/doc/10_01_01_UC_CSU_Application_for_Rehearing.doc</w:t>
      </w:r>
      <w:r>
        <w:rPr>
          <w:sz w:val="16"/>
        </w:rPr>
        <w:fldChar w:fldCharType="end"/>
      </w:r>
    </w:p>
    <w:p>
      <w:pPr>
        <w:pStyle w:val="BodyTextIndent"/>
        <w:spacing w:lineRule="auto" w:line="240"/>
        <w:ind w:start="0" w:end="0"/>
        <w:jc w:val="both"/>
        <w:rPr>
          <w:sz w:val="16"/>
        </w:rPr>
      </w:pPr>
      <w:r>
        <w:rPr>
          <w:sz w:val="16"/>
        </w:rPr>
      </w:r>
    </w:p>
    <w:sectPr>
      <w:footerReference w:type="default" r:id="rId2"/>
      <w:footerReference w:type="first" r:id="rId3"/>
      <w:footnotePr>
        <w:numFmt w:val="decimal"/>
      </w:footnotePr>
      <w:type w:val="nextPage"/>
      <w:pgSz w:w="12240" w:h="15840"/>
      <w:pgMar w:left="1584" w:right="1584" w:gutter="0" w:header="0" w:top="1584" w:footer="72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See Public Utilities Code §1731(c).  The ten-day period ended on Sunday, September 30.  Accordingly, the filing deadline is extended to today, Monday, October 1.</w:t>
      </w:r>
    </w:p>
  </w:footnote>
  <w:footnote w:id="3">
    <w:p>
      <w:pPr>
        <w:pStyle w:val="FootnoteText"/>
        <w:jc w:val="both"/>
        <w:rPr/>
      </w:pPr>
      <w:r>
        <w:rPr>
          <w:rStyle w:val="FootnoteCharacters"/>
        </w:rPr>
        <w:footnoteRef/>
      </w:r>
      <w:r>
        <w:rPr/>
        <w:t xml:space="preserve">  </w:t>
      </w:r>
      <w:r>
        <w:rPr/>
        <w:t>The State Treasurer’s Office, the Department of Finance, the Department of Water Resources (“DWR”), and members of the financing team for the DWR Power Purchase Revenue Bonds.</w:t>
      </w:r>
    </w:p>
  </w:footnote>
  <w:footnote w:id="4">
    <w:p>
      <w:pPr>
        <w:pStyle w:val="FootnoteText"/>
        <w:rPr/>
      </w:pPr>
      <w:r>
        <w:rPr>
          <w:rStyle w:val="FootnoteCharacters"/>
        </w:rPr>
        <w:footnoteRef/>
      </w:r>
      <w:r>
        <w:rPr/>
        <w:t xml:space="preserve"> </w:t>
      </w:r>
      <w:r>
        <w:rPr/>
        <w:t>The sale of bonds is authorized under AB 1X and is necessary in order for the DWR to pay for its power purchase program.  However, there is no evidence in this record which supports the finding of fact that the suspension of direct access is necessary for the sale of bonds.</w:t>
      </w:r>
    </w:p>
  </w:footnote>
  <w:footnote w:id="5">
    <w:p>
      <w:pPr>
        <w:pStyle w:val="FootnoteText"/>
        <w:jc w:val="both"/>
        <w:rPr/>
      </w:pPr>
      <w:r>
        <w:rPr>
          <w:rStyle w:val="FootnoteCharacters"/>
        </w:rPr>
        <w:footnoteRef/>
      </w:r>
      <w:r>
        <w:rPr/>
        <w:t xml:space="preserve"> </w:t>
      </w:r>
      <w:r>
        <w:rPr/>
        <w:t xml:space="preserve">In addition to the illegality of interfering with an existing contract, the Decision violates a fundamental issue of fairness.  Direct access customers, such as UC/CSU, did not contribute to DWR’s deficit, and therefore, should not be harmed by this Decision.  If the Commission were to preclude customers with pre-September 20 direct access contracts from adding accounts or renewing their contracts, provided that the contract terms allow such action, it will cause customers who were not served by DWR to bear an unfair financial burden. </w:t>
      </w:r>
    </w:p>
    <w:p>
      <w:pPr>
        <w:pStyle w:val="FootnoteText"/>
        <w:rPr/>
      </w:pPr>
      <w:r>
        <w:rPr/>
      </w:r>
    </w:p>
  </w:footnote>
  <w:footnote w:id="6">
    <w:p>
      <w:pPr>
        <w:pStyle w:val="FootnoteText"/>
        <w:jc w:val="both"/>
        <w:rPr/>
      </w:pPr>
      <w:r>
        <w:rPr>
          <w:rStyle w:val="FootnoteCharacters"/>
        </w:rPr>
        <w:footnoteRef/>
      </w:r>
      <w:r>
        <w:rPr/>
        <w:t xml:space="preserve"> </w:t>
      </w:r>
      <w:r>
        <w:rPr/>
        <w:t xml:space="preserve">The utilities have indicated that they will set a deadline for the filing of DASRs, and this is of primary concern to customers such as UC/CSU, as there are eligible accounts that have no DASR and, more fundamentally, under the terms of the UC/CSU direct access contract, the campuses can add or delete accounts at will.  Therefore, neither the utilities nor the Commission can set a deadline for DASRs without abrogating existing pre-September 20, 2001 direct access service contracts.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uto" w:line="480"/>
      <w:ind w:hanging="0" w:start="720" w:end="-720"/>
      <w:outlineLvl w:val="1"/>
    </w:pPr>
    <w:rPr>
      <w:b/>
      <w:sz w:val="24"/>
    </w:rPr>
  </w:style>
  <w:style w:type="paragraph" w:styleId="Heading3">
    <w:name w:val="heading 3"/>
    <w:basedOn w:val="Normal"/>
    <w:next w:val="Normal"/>
    <w:qFormat/>
    <w:pPr>
      <w:keepNext w:val="true"/>
      <w:numPr>
        <w:ilvl w:val="2"/>
        <w:numId w:val="1"/>
      </w:numPr>
      <w:spacing w:lineRule="auto" w:line="480"/>
      <w:ind w:firstLine="720" w:start="0" w:end="0"/>
      <w:outlineLvl w:val="2"/>
    </w:pPr>
    <w:rPr>
      <w:b/>
      <w:sz w:val="24"/>
    </w:rPr>
  </w:style>
  <w:style w:type="paragraph" w:styleId="Heading4">
    <w:name w:val="heading 4"/>
    <w:basedOn w:val="Normal"/>
    <w:next w:val="Normal"/>
    <w:qFormat/>
    <w:pPr>
      <w:keepNext w:val="true"/>
      <w:numPr>
        <w:ilvl w:val="3"/>
        <w:numId w:val="1"/>
      </w:numPr>
      <w:ind w:firstLine="720" w:start="0" w:end="0"/>
      <w:jc w:val="both"/>
      <w:outlineLvl w:val="3"/>
    </w:pPr>
    <w:rPr>
      <w:b/>
      <w:bCs/>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z w:val="24"/>
    </w:rPr>
  </w:style>
  <w:style w:type="paragraph" w:styleId="FootnoteText">
    <w:name w:val="footnote text"/>
    <w:basedOn w:val="Normal"/>
    <w:pPr/>
    <w:rPr>
      <w:sz w:val="20"/>
    </w:rPr>
  </w:style>
  <w:style w:type="paragraph" w:styleId="BodyTextIndent2">
    <w:name w:val="Body Text Indent 2"/>
    <w:basedOn w:val="Normal"/>
    <w:qFormat/>
    <w:pPr>
      <w:ind w:hanging="720" w:start="720" w:end="0"/>
    </w:pPr>
    <w:rPr>
      <w:b/>
      <w:sz w:val="24"/>
    </w:rPr>
  </w:style>
  <w:style w:type="paragraph" w:styleId="BodyTextIndent3">
    <w:name w:val="Body Text Indent 3"/>
    <w:basedOn w:val="Normal"/>
    <w:qFormat/>
    <w:pPr>
      <w:spacing w:lineRule="auto" w:line="480"/>
      <w:ind w:firstLine="1440" w:start="0" w:end="0"/>
      <w:jc w:val="both"/>
    </w:pPr>
    <w:rPr>
      <w:sz w:val="24"/>
    </w:rPr>
  </w:style>
  <w:style w:type="paragraph" w:styleId="BodyText2">
    <w:name w:val="Body Text 2"/>
    <w:basedOn w:val="Normal"/>
    <w:qFormat/>
    <w:pPr>
      <w:jc w:val="both"/>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2001-09-26T13:53:00Z</dcterms:created>
  <dc:creator>Theresa Cho</dc:creator>
  <dc:description/>
  <dc:language>en-CA</dc:language>
  <cp:lastModifiedBy>Admin</cp:lastModifiedBy>
  <cp:lastPrinted>2001-10-01T12:37:00Z</cp:lastPrinted>
  <dcterms:modified xsi:type="dcterms:W3CDTF">2001-10-01T17:24:00Z</dcterms:modified>
  <cp:revision>97</cp:revision>
  <dc:subject/>
  <dc:title>I</dc:title>
</cp:coreProperties>
</file>