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left" w:pos="4320" w:leader="none"/>
          <w:tab w:val="left" w:pos="8820" w:leader="none"/>
        </w:tabs>
        <w:rPr/>
      </w:pPr>
      <w:r>
        <w:rPr/>
      </w:r>
    </w:p>
    <w:p>
      <w:pPr>
        <w:pStyle w:val="Heading"/>
        <w:tabs>
          <w:tab w:val="left" w:pos="4320" w:leader="none"/>
          <w:tab w:val="left" w:pos="8820" w:leader="none"/>
        </w:tabs>
        <w:rPr/>
      </w:pPr>
      <w:r>
        <w:rPr/>
      </w:r>
    </w:p>
    <w:p>
      <w:pPr>
        <w:pStyle w:val="Heading"/>
        <w:rPr/>
      </w:pPr>
      <w:r>
        <w:rPr/>
      </w:r>
    </w:p>
    <w:p>
      <w:pPr>
        <w:pStyle w:val="Heading"/>
        <w:rPr/>
      </w:pPr>
      <w:r>
        <w:rPr/>
        <w:t>SECURITIES AND EXCHANGE COMMISSION</w:t>
      </w:r>
    </w:p>
    <w:p>
      <w:pPr>
        <w:pStyle w:val="Normal"/>
        <w:suppressAutoHyphens w:val="true"/>
        <w:jc w:val="center"/>
        <w:rPr>
          <w:kern w:val="2"/>
          <w:sz w:val="36"/>
        </w:rPr>
      </w:pPr>
      <w:r>
        <w:rPr>
          <w:kern w:val="2"/>
          <w:sz w:val="36"/>
        </w:rPr>
        <w:t>WASHINGTON, D.C. 20549</w:t>
      </w:r>
    </w:p>
    <w:p>
      <w:pPr>
        <w:pStyle w:val="Normal"/>
        <w:suppressAutoHyphens w:val="true"/>
        <w:jc w:val="center"/>
        <w:rPr>
          <w:kern w:val="2"/>
          <w:sz w:val="36"/>
        </w:rPr>
      </w:pPr>
      <w:r>
        <w:rPr>
          <w:kern w:val="2"/>
          <w:sz w:val="36"/>
        </w:rPr>
      </w:r>
    </w:p>
    <w:p>
      <w:pPr>
        <w:pStyle w:val="Normal"/>
        <w:suppressAutoHyphens w:val="true"/>
        <w:jc w:val="center"/>
        <w:rPr>
          <w:kern w:val="2"/>
          <w:sz w:val="36"/>
        </w:rPr>
      </w:pPr>
      <w:r>
        <w:rPr>
          <w:b/>
          <w:kern w:val="2"/>
          <w:sz w:val="36"/>
        </w:rPr>
        <w:t xml:space="preserve">FORM 10–Q </w:t>
      </w:r>
    </w:p>
    <w:p>
      <w:pPr>
        <w:pStyle w:val="Normal"/>
        <w:suppressAutoHyphens w:val="true"/>
        <w:jc w:val="center"/>
        <w:rPr>
          <w:kern w:val="2"/>
          <w:sz w:val="36"/>
        </w:rPr>
      </w:pPr>
      <w:r>
        <w:rPr>
          <w:kern w:val="2"/>
          <w:sz w:val="36"/>
        </w:rPr>
      </w:r>
    </w:p>
    <w:p>
      <w:pPr>
        <w:pStyle w:val="Normal"/>
        <w:suppressAutoHyphens w:val="true"/>
        <w:jc w:val="center"/>
        <w:rPr>
          <w:kern w:val="2"/>
          <w:sz w:val="36"/>
        </w:rPr>
      </w:pPr>
      <w:r>
        <w:rPr>
          <w:kern w:val="2"/>
          <w:sz w:val="36"/>
        </w:rPr>
      </w:r>
    </w:p>
    <w:p>
      <w:pPr>
        <w:pStyle w:val="Normal"/>
        <w:tabs>
          <w:tab w:val="clear" w:pos="720"/>
          <w:tab w:val="left" w:pos="434" w:leader="none"/>
        </w:tabs>
        <w:suppressAutoHyphens w:val="true"/>
        <w:jc w:val="both"/>
        <w:rPr/>
      </w:pPr>
      <w:r>
        <w:rPr>
          <w:spacing w:val="-3"/>
          <w:kern w:val="2"/>
          <w:sz w:val="24"/>
          <w:u w:val="single"/>
        </w:rPr>
        <w:t>[</w:t>
      </w:r>
      <w:r>
        <w:rPr>
          <w:b/>
          <w:spacing w:val="-3"/>
          <w:kern w:val="2"/>
          <w:sz w:val="24"/>
          <w:u w:val="single"/>
        </w:rPr>
        <w:t>X</w:t>
      </w:r>
      <w:r>
        <w:rPr>
          <w:spacing w:val="-3"/>
          <w:kern w:val="2"/>
          <w:sz w:val="24"/>
          <w:u w:val="single"/>
        </w:rPr>
        <w:t>]</w:t>
      </w:r>
      <w:r>
        <w:rPr>
          <w:spacing w:val="-3"/>
          <w:kern w:val="2"/>
          <w:sz w:val="24"/>
        </w:rPr>
        <w:tab/>
        <w:t xml:space="preserve">QUARTERLY REPORT PURSUANT TO SECTION 13 OR 15(d) OF THE SECURITIES </w:t>
      </w:r>
    </w:p>
    <w:p>
      <w:pPr>
        <w:pStyle w:val="Normal"/>
        <w:tabs>
          <w:tab w:val="clear" w:pos="720"/>
          <w:tab w:val="left" w:pos="434" w:leader="none"/>
        </w:tabs>
        <w:suppressAutoHyphens w:val="true"/>
        <w:jc w:val="both"/>
        <w:rPr>
          <w:spacing w:val="-3"/>
          <w:kern w:val="2"/>
          <w:sz w:val="24"/>
        </w:rPr>
      </w:pPr>
      <w:r>
        <w:rPr>
          <w:spacing w:val="-3"/>
          <w:kern w:val="2"/>
          <w:sz w:val="24"/>
        </w:rPr>
        <w:tab/>
        <w:t>EXCHANGE ACT OF 1934</w:t>
      </w:r>
    </w:p>
    <w:p>
      <w:pPr>
        <w:pStyle w:val="Normal"/>
        <w:tabs>
          <w:tab w:val="clear" w:pos="720"/>
          <w:tab w:val="left" w:pos="434" w:leader="none"/>
        </w:tabs>
        <w:suppressAutoHyphens w:val="true"/>
        <w:jc w:val="both"/>
        <w:rPr>
          <w:spacing w:val="-3"/>
          <w:kern w:val="2"/>
          <w:sz w:val="24"/>
        </w:rPr>
      </w:pPr>
      <w:r>
        <w:rPr>
          <w:spacing w:val="-3"/>
          <w:kern w:val="2"/>
          <w:sz w:val="24"/>
        </w:rPr>
      </w:r>
    </w:p>
    <w:p>
      <w:pPr>
        <w:pStyle w:val="Normal"/>
        <w:tabs>
          <w:tab w:val="clear" w:pos="720"/>
          <w:tab w:val="left" w:pos="434" w:leader="none"/>
        </w:tabs>
        <w:suppressAutoHyphens w:val="true"/>
        <w:jc w:val="both"/>
        <w:rPr/>
      </w:pPr>
      <w:r>
        <w:rPr>
          <w:spacing w:val="-3"/>
          <w:kern w:val="2"/>
          <w:sz w:val="24"/>
        </w:rPr>
        <w:t xml:space="preserve">For the quarterly period ended </w:t>
      </w:r>
      <w:r>
        <w:rPr>
          <w:b/>
          <w:spacing w:val="-3"/>
          <w:kern w:val="2"/>
          <w:sz w:val="24"/>
        </w:rPr>
        <w:t>March 31, 2001</w:t>
      </w:r>
    </w:p>
    <w:p>
      <w:pPr>
        <w:pStyle w:val="Normal"/>
        <w:tabs>
          <w:tab w:val="clear" w:pos="720"/>
          <w:tab w:val="left" w:pos="434" w:leader="none"/>
        </w:tabs>
        <w:suppressAutoHyphens w:val="true"/>
        <w:jc w:val="both"/>
        <w:rPr>
          <w:b/>
          <w:spacing w:val="-3"/>
          <w:kern w:val="2"/>
          <w:sz w:val="24"/>
        </w:rPr>
      </w:pPr>
      <w:r>
        <w:rPr>
          <w:b/>
          <w:spacing w:val="-3"/>
          <w:kern w:val="2"/>
          <w:sz w:val="24"/>
        </w:rPr>
      </w:r>
    </w:p>
    <w:p>
      <w:pPr>
        <w:pStyle w:val="Normal"/>
        <w:tabs>
          <w:tab w:val="clear" w:pos="720"/>
          <w:tab w:val="left" w:pos="434" w:leader="none"/>
        </w:tabs>
        <w:suppressAutoHyphens w:val="true"/>
        <w:jc w:val="both"/>
        <w:rPr>
          <w:spacing w:val="-3"/>
          <w:kern w:val="2"/>
          <w:sz w:val="24"/>
        </w:rPr>
      </w:pPr>
      <w:r>
        <w:rPr>
          <w:spacing w:val="-3"/>
          <w:kern w:val="2"/>
          <w:sz w:val="24"/>
        </w:rPr>
        <w:t>[  ]</w:t>
        <w:tab/>
        <w:t>TRANSITION REPORT PURSUANT TO SECTION 13 OR 15(d) OF THE SECURITIES</w:t>
      </w:r>
    </w:p>
    <w:p>
      <w:pPr>
        <w:pStyle w:val="Normal"/>
        <w:tabs>
          <w:tab w:val="clear" w:pos="720"/>
          <w:tab w:val="left" w:pos="434" w:leader="none"/>
        </w:tabs>
        <w:suppressAutoHyphens w:val="true"/>
        <w:jc w:val="both"/>
        <w:rPr>
          <w:spacing w:val="-3"/>
          <w:kern w:val="2"/>
          <w:sz w:val="24"/>
        </w:rPr>
      </w:pPr>
      <w:r>
        <w:rPr>
          <w:spacing w:val="-3"/>
          <w:kern w:val="2"/>
          <w:sz w:val="24"/>
        </w:rPr>
        <w:tab/>
        <w:t>EXCHANGE ACT OF 1934</w:t>
      </w:r>
    </w:p>
    <w:p>
      <w:pPr>
        <w:pStyle w:val="Normal"/>
        <w:tabs>
          <w:tab w:val="clear" w:pos="720"/>
          <w:tab w:val="left" w:pos="434" w:leader="none"/>
        </w:tabs>
        <w:suppressAutoHyphens w:val="true"/>
        <w:jc w:val="both"/>
        <w:rPr>
          <w:spacing w:val="-3"/>
          <w:kern w:val="2"/>
          <w:sz w:val="24"/>
        </w:rPr>
      </w:pPr>
      <w:r>
        <w:rPr>
          <w:spacing w:val="-3"/>
          <w:kern w:val="2"/>
          <w:sz w:val="24"/>
        </w:rPr>
      </w:r>
    </w:p>
    <w:p>
      <w:pPr>
        <w:pStyle w:val="Normal"/>
        <w:tabs>
          <w:tab w:val="clear" w:pos="720"/>
          <w:tab w:val="center" w:pos="4680" w:leader="none"/>
        </w:tabs>
        <w:suppressAutoHyphens w:val="true"/>
        <w:jc w:val="both"/>
        <w:rPr>
          <w:spacing w:val="-3"/>
          <w:kern w:val="2"/>
          <w:sz w:val="24"/>
        </w:rPr>
      </w:pPr>
      <w:r>
        <w:rPr>
          <w:spacing w:val="-3"/>
          <w:kern w:val="2"/>
          <w:sz w:val="24"/>
        </w:rPr>
        <w:tab/>
        <w:t>Commission File Number 1-12872</w:t>
      </w:r>
    </w:p>
    <w:p>
      <w:pPr>
        <w:pStyle w:val="Normal"/>
        <w:tabs>
          <w:tab w:val="clear" w:pos="720"/>
          <w:tab w:val="center" w:pos="4680" w:leader="none"/>
        </w:tabs>
        <w:suppressAutoHyphens w:val="true"/>
        <w:jc w:val="both"/>
        <w:rPr>
          <w:spacing w:val="-3"/>
          <w:kern w:val="2"/>
          <w:sz w:val="24"/>
        </w:rPr>
      </w:pPr>
      <w:r>
        <w:rPr>
          <w:spacing w:val="-3"/>
          <w:kern w:val="2"/>
          <w:sz w:val="24"/>
        </w:rPr>
        <w:tab/>
      </w:r>
    </w:p>
    <w:p>
      <w:pPr>
        <w:pStyle w:val="Normal"/>
        <w:tabs>
          <w:tab w:val="clear" w:pos="720"/>
          <w:tab w:val="center" w:pos="4680" w:leader="none"/>
        </w:tabs>
        <w:suppressAutoHyphens w:val="true"/>
        <w:jc w:val="both"/>
        <w:rPr>
          <w:spacing w:val="-5"/>
          <w:kern w:val="2"/>
          <w:sz w:val="40"/>
        </w:rPr>
      </w:pPr>
      <w:r>
        <w:rPr>
          <w:b/>
          <w:spacing w:val="-5"/>
          <w:kern w:val="2"/>
          <w:sz w:val="40"/>
        </w:rPr>
        <w:tab/>
        <w:t>EOTT ENERGY PARTNERS, L.P.</w:t>
      </w:r>
    </w:p>
    <w:p>
      <w:pPr>
        <w:pStyle w:val="Normal"/>
        <w:tabs>
          <w:tab w:val="clear" w:pos="720"/>
          <w:tab w:val="center" w:pos="4680" w:leader="none"/>
        </w:tabs>
        <w:suppressAutoHyphens w:val="true"/>
        <w:jc w:val="both"/>
        <w:rPr>
          <w:spacing w:val="-3"/>
          <w:kern w:val="2"/>
          <w:sz w:val="24"/>
        </w:rPr>
      </w:pPr>
      <w:r>
        <w:rPr>
          <w:spacing w:val="-3"/>
          <w:kern w:val="2"/>
          <w:sz w:val="24"/>
        </w:rPr>
        <w:tab/>
        <w:t>(Exact name of registrant as specified in its charter)</w:t>
      </w:r>
    </w:p>
    <w:p>
      <w:pPr>
        <w:pStyle w:val="Normal"/>
        <w:tabs>
          <w:tab w:val="clear" w:pos="720"/>
          <w:tab w:val="left" w:pos="434" w:leader="none"/>
        </w:tabs>
        <w:suppressAutoHyphens w:val="true"/>
        <w:jc w:val="both"/>
        <w:rPr>
          <w:spacing w:val="-3"/>
          <w:kern w:val="2"/>
          <w:sz w:val="24"/>
        </w:rPr>
      </w:pPr>
      <w:r>
        <w:rPr>
          <w:spacing w:val="-3"/>
          <w:kern w:val="2"/>
          <w:sz w:val="24"/>
        </w:rPr>
      </w:r>
    </w:p>
    <w:p>
      <w:pPr>
        <w:pStyle w:val="Normal"/>
        <w:tabs>
          <w:tab w:val="clear" w:pos="720"/>
          <w:tab w:val="left" w:pos="434" w:leader="none"/>
        </w:tabs>
        <w:suppressAutoHyphens w:val="true"/>
        <w:jc w:val="both"/>
        <w:rPr>
          <w:spacing w:val="-3"/>
          <w:kern w:val="2"/>
          <w:sz w:val="24"/>
        </w:rPr>
      </w:pPr>
      <w:r>
        <w:rPr>
          <w:spacing w:val="-3"/>
          <w:kern w:val="2"/>
          <w:sz w:val="24"/>
        </w:rPr>
      </w:r>
    </w:p>
    <w:p>
      <w:pPr>
        <w:pStyle w:val="Normal"/>
        <w:tabs>
          <w:tab w:val="clear" w:pos="720"/>
          <w:tab w:val="left" w:pos="434" w:leader="none"/>
        </w:tabs>
        <w:suppressAutoHyphens w:val="true"/>
        <w:jc w:val="both"/>
        <w:rPr>
          <w:spacing w:val="-3"/>
          <w:kern w:val="2"/>
          <w:sz w:val="24"/>
        </w:rPr>
      </w:pPr>
      <w:r>
        <w:rPr>
          <w:spacing w:val="-3"/>
          <w:kern w:val="2"/>
          <w:sz w:val="24"/>
        </w:rPr>
      </w:r>
    </w:p>
    <w:p>
      <w:pPr>
        <w:pStyle w:val="Normal"/>
        <w:widowControl w:val="false"/>
        <w:tabs>
          <w:tab w:val="clear" w:pos="720"/>
          <w:tab w:val="left" w:pos="900" w:leader="none"/>
          <w:tab w:val="center" w:pos="2520" w:leader="none"/>
          <w:tab w:val="right" w:pos="4140" w:leader="none"/>
          <w:tab w:val="left" w:pos="5220" w:leader="none"/>
          <w:tab w:val="center" w:pos="6840" w:leader="none"/>
          <w:tab w:val="right" w:pos="8460" w:leader="none"/>
        </w:tabs>
        <w:spacing w:lineRule="exact" w:line="240"/>
        <w:rPr>
          <w:sz w:val="22"/>
        </w:rPr>
      </w:pPr>
      <w:r>
        <w:rPr>
          <w:sz w:val="22"/>
        </w:rPr>
        <w:tab/>
      </w:r>
      <w:r>
        <w:rPr>
          <w:sz w:val="22"/>
          <w:u w:val="single"/>
        </w:rPr>
        <w:tab/>
        <w:t xml:space="preserve">Delaware </w:t>
        <w:tab/>
      </w:r>
      <w:r>
        <w:rPr>
          <w:sz w:val="22"/>
        </w:rPr>
        <w:tab/>
      </w:r>
      <w:r>
        <w:rPr>
          <w:sz w:val="22"/>
          <w:u w:val="single"/>
        </w:rPr>
        <w:tab/>
        <w:t xml:space="preserve">76-0424520 </w:t>
        <w:tab/>
      </w:r>
    </w:p>
    <w:p>
      <w:pPr>
        <w:pStyle w:val="Normal"/>
        <w:widowControl w:val="false"/>
        <w:tabs>
          <w:tab w:val="clear" w:pos="720"/>
          <w:tab w:val="left" w:pos="900" w:leader="none"/>
          <w:tab w:val="center" w:pos="2520" w:leader="none"/>
          <w:tab w:val="right" w:pos="4140" w:leader="none"/>
          <w:tab w:val="left" w:pos="5220" w:leader="none"/>
          <w:tab w:val="center" w:pos="6840" w:leader="none"/>
          <w:tab w:val="right" w:pos="8460" w:leader="none"/>
        </w:tabs>
        <w:spacing w:lineRule="exact" w:line="240"/>
        <w:rPr>
          <w:sz w:val="18"/>
        </w:rPr>
      </w:pPr>
      <w:r>
        <w:rPr>
          <w:sz w:val="18"/>
        </w:rPr>
        <w:tab/>
        <w:tab/>
        <w:t xml:space="preserve">(State or Other Jurisdiction of </w:t>
        <w:tab/>
        <w:tab/>
        <w:tab/>
        <w:t>(I.R.S. Employer</w:t>
        <w:tab/>
      </w:r>
    </w:p>
    <w:p>
      <w:pPr>
        <w:pStyle w:val="Normal"/>
        <w:widowControl w:val="false"/>
        <w:tabs>
          <w:tab w:val="clear" w:pos="720"/>
          <w:tab w:val="left" w:pos="900" w:leader="none"/>
          <w:tab w:val="center" w:pos="2520" w:leader="none"/>
          <w:tab w:val="right" w:pos="4140" w:leader="none"/>
          <w:tab w:val="left" w:pos="5220" w:leader="none"/>
          <w:tab w:val="center" w:pos="6840" w:leader="none"/>
          <w:tab w:val="right" w:pos="8460" w:leader="none"/>
        </w:tabs>
        <w:spacing w:lineRule="exact" w:line="180"/>
        <w:rPr>
          <w:sz w:val="18"/>
        </w:rPr>
      </w:pPr>
      <w:r>
        <w:rPr>
          <w:sz w:val="18"/>
        </w:rPr>
        <w:tab/>
        <w:tab/>
        <w:t>Incorporation or Organization)</w:t>
        <w:tab/>
        <w:tab/>
        <w:tab/>
        <w:t>Identification No.)</w:t>
        <w:tab/>
      </w:r>
    </w:p>
    <w:p>
      <w:pPr>
        <w:pStyle w:val="Normal"/>
        <w:widowControl w:val="false"/>
        <w:tabs>
          <w:tab w:val="clear" w:pos="720"/>
          <w:tab w:val="left" w:pos="900" w:leader="none"/>
          <w:tab w:val="center" w:pos="2520" w:leader="none"/>
          <w:tab w:val="right" w:pos="4140" w:leader="none"/>
          <w:tab w:val="left" w:pos="5220" w:leader="none"/>
          <w:tab w:val="center" w:pos="6840" w:leader="none"/>
          <w:tab w:val="right" w:pos="8460" w:leader="none"/>
        </w:tabs>
        <w:spacing w:lineRule="exact" w:line="240"/>
        <w:rPr>
          <w:sz w:val="21"/>
        </w:rPr>
      </w:pPr>
      <w:r>
        <w:rPr>
          <w:sz w:val="21"/>
        </w:rPr>
      </w:r>
    </w:p>
    <w:p>
      <w:pPr>
        <w:pStyle w:val="Normal"/>
        <w:widowControl w:val="false"/>
        <w:tabs>
          <w:tab w:val="clear" w:pos="720"/>
          <w:tab w:val="left" w:pos="900" w:leader="none"/>
          <w:tab w:val="center" w:pos="2520" w:leader="none"/>
          <w:tab w:val="right" w:pos="4140" w:leader="none"/>
          <w:tab w:val="left" w:pos="5220" w:leader="none"/>
          <w:tab w:val="center" w:pos="6840" w:leader="none"/>
          <w:tab w:val="right" w:pos="8460" w:leader="none"/>
        </w:tabs>
        <w:spacing w:lineRule="exact" w:line="240"/>
        <w:rPr>
          <w:sz w:val="22"/>
        </w:rPr>
      </w:pPr>
      <w:r>
        <w:rPr>
          <w:sz w:val="22"/>
        </w:rPr>
        <w:tab/>
        <w:tab/>
        <w:t>2000 West Sam Houston Parkway South,</w:t>
      </w:r>
    </w:p>
    <w:p>
      <w:pPr>
        <w:pStyle w:val="Normal"/>
        <w:widowControl w:val="false"/>
        <w:tabs>
          <w:tab w:val="clear" w:pos="720"/>
          <w:tab w:val="left" w:pos="900" w:leader="none"/>
          <w:tab w:val="center" w:pos="2520" w:leader="none"/>
          <w:tab w:val="right" w:pos="4140" w:leader="none"/>
          <w:tab w:val="left" w:pos="5220" w:leader="none"/>
          <w:tab w:val="center" w:pos="6840" w:leader="none"/>
          <w:tab w:val="right" w:pos="8460" w:leader="none"/>
        </w:tabs>
        <w:spacing w:lineRule="exact" w:line="240"/>
        <w:rPr>
          <w:sz w:val="22"/>
          <w:u w:val="single"/>
        </w:rPr>
      </w:pPr>
      <w:r>
        <w:rPr>
          <w:sz w:val="22"/>
        </w:rPr>
        <w:tab/>
        <w:tab/>
        <w:t>Suite 400</w:t>
      </w:r>
    </w:p>
    <w:p>
      <w:pPr>
        <w:pStyle w:val="Normal"/>
        <w:widowControl w:val="false"/>
        <w:tabs>
          <w:tab w:val="clear" w:pos="720"/>
          <w:tab w:val="left" w:pos="900" w:leader="none"/>
          <w:tab w:val="center" w:pos="2520" w:leader="none"/>
          <w:tab w:val="right" w:pos="4140" w:leader="none"/>
          <w:tab w:val="left" w:pos="5220" w:leader="none"/>
          <w:tab w:val="center" w:pos="6840" w:leader="none"/>
          <w:tab w:val="right" w:pos="8460" w:leader="none"/>
        </w:tabs>
        <w:spacing w:lineRule="exact" w:line="240"/>
        <w:rPr/>
      </w:pPr>
      <w:r>
        <w:rPr>
          <w:sz w:val="22"/>
        </w:rPr>
        <w:tab/>
      </w:r>
      <w:r>
        <w:rPr>
          <w:sz w:val="22"/>
          <w:u w:val="single"/>
        </w:rPr>
        <w:tab/>
        <w:t xml:space="preserve">Houston, Texas </w:t>
        <w:tab/>
      </w:r>
      <w:r>
        <w:rPr>
          <w:sz w:val="22"/>
        </w:rPr>
        <w:tab/>
      </w:r>
      <w:r>
        <w:rPr>
          <w:sz w:val="22"/>
          <w:u w:val="single"/>
        </w:rPr>
        <w:tab/>
        <w:t>77042</w:t>
        <w:tab/>
      </w:r>
    </w:p>
    <w:p>
      <w:pPr>
        <w:pStyle w:val="Normal"/>
        <w:widowControl w:val="false"/>
        <w:tabs>
          <w:tab w:val="clear" w:pos="720"/>
          <w:tab w:val="left" w:pos="900" w:leader="none"/>
          <w:tab w:val="center" w:pos="2520" w:leader="none"/>
          <w:tab w:val="right" w:pos="4140" w:leader="none"/>
          <w:tab w:val="left" w:pos="5220" w:leader="none"/>
          <w:tab w:val="center" w:pos="6840" w:leader="none"/>
          <w:tab w:val="right" w:pos="8460" w:leader="none"/>
        </w:tabs>
        <w:spacing w:lineRule="exact" w:line="240"/>
        <w:rPr>
          <w:sz w:val="18"/>
        </w:rPr>
      </w:pPr>
      <w:r>
        <w:rPr>
          <w:sz w:val="18"/>
        </w:rPr>
        <w:tab/>
        <w:tab/>
        <w:t>(Address of principal executive offices)</w:t>
        <w:tab/>
        <w:tab/>
        <w:tab/>
        <w:t>(Zip Code)</w:t>
        <w:tab/>
      </w:r>
    </w:p>
    <w:p>
      <w:pPr>
        <w:pStyle w:val="Normal"/>
        <w:widowControl w:val="false"/>
        <w:tabs>
          <w:tab w:val="clear" w:pos="720"/>
          <w:tab w:val="left" w:pos="2520" w:leader="none"/>
          <w:tab w:val="center" w:pos="4680" w:leader="none"/>
          <w:tab w:val="right" w:pos="6840" w:leader="none"/>
        </w:tabs>
        <w:spacing w:lineRule="exact" w:line="240"/>
        <w:rPr>
          <w:sz w:val="22"/>
        </w:rPr>
      </w:pPr>
      <w:r>
        <w:rPr>
          <w:sz w:val="22"/>
        </w:rPr>
      </w:r>
    </w:p>
    <w:p>
      <w:pPr>
        <w:pStyle w:val="Normal"/>
        <w:widowControl w:val="false"/>
        <w:tabs>
          <w:tab w:val="clear" w:pos="720"/>
          <w:tab w:val="left" w:pos="2520" w:leader="none"/>
          <w:tab w:val="center" w:pos="4680" w:leader="none"/>
          <w:tab w:val="right" w:pos="6840" w:leader="none"/>
        </w:tabs>
        <w:spacing w:lineRule="exact" w:line="240"/>
        <w:rPr/>
      </w:pPr>
      <w:r>
        <w:rPr>
          <w:sz w:val="22"/>
        </w:rPr>
        <w:tab/>
      </w:r>
      <w:r>
        <w:rPr>
          <w:sz w:val="22"/>
          <w:u w:val="single"/>
        </w:rPr>
        <w:tab/>
        <w:t>(713) 993-5200</w:t>
        <w:tab/>
      </w:r>
    </w:p>
    <w:p>
      <w:pPr>
        <w:pStyle w:val="Normal"/>
        <w:widowControl w:val="false"/>
        <w:tabs>
          <w:tab w:val="clear" w:pos="720"/>
          <w:tab w:val="left" w:pos="2520" w:leader="none"/>
          <w:tab w:val="center" w:pos="4680" w:leader="none"/>
          <w:tab w:val="right" w:pos="6840" w:leader="none"/>
        </w:tabs>
        <w:spacing w:lineRule="exact" w:line="240"/>
        <w:rPr>
          <w:sz w:val="18"/>
        </w:rPr>
      </w:pPr>
      <w:r>
        <w:rPr>
          <w:sz w:val="18"/>
        </w:rPr>
        <w:tab/>
        <w:tab/>
        <w:t>(Registrant’s telephone number, including area code)</w:t>
        <w:tab/>
      </w:r>
    </w:p>
    <w:p>
      <w:pPr>
        <w:pStyle w:val="Normal"/>
        <w:tabs>
          <w:tab w:val="clear" w:pos="720"/>
          <w:tab w:val="left" w:pos="434" w:leader="none"/>
        </w:tabs>
        <w:suppressAutoHyphens w:val="true"/>
        <w:jc w:val="center"/>
        <w:rPr>
          <w:kern w:val="2"/>
          <w:sz w:val="18"/>
        </w:rPr>
      </w:pPr>
      <w:r>
        <w:rPr>
          <w:kern w:val="2"/>
          <w:sz w:val="18"/>
        </w:rPr>
      </w:r>
    </w:p>
    <w:p>
      <w:pPr>
        <w:pStyle w:val="Normal"/>
        <w:tabs>
          <w:tab w:val="clear" w:pos="720"/>
          <w:tab w:val="left" w:pos="434" w:leader="none"/>
        </w:tabs>
        <w:suppressAutoHyphens w:val="true"/>
        <w:jc w:val="center"/>
        <w:rPr>
          <w:kern w:val="2"/>
        </w:rPr>
      </w:pPr>
      <w:r>
        <w:rPr>
          <w:kern w:val="2"/>
        </w:rPr>
      </w:r>
    </w:p>
    <w:p>
      <w:pPr>
        <w:pStyle w:val="Normal"/>
        <w:tabs>
          <w:tab w:val="clear" w:pos="720"/>
          <w:tab w:val="left" w:pos="778" w:leader="none"/>
          <w:tab w:val="left" w:pos="1469" w:leader="none"/>
        </w:tabs>
        <w:suppressAutoHyphens w:val="true"/>
        <w:jc w:val="both"/>
        <w:rPr/>
      </w:pPr>
      <w:r>
        <w:rPr>
          <w:spacing w:val="-3"/>
          <w:kern w:val="2"/>
          <w:sz w:val="22"/>
        </w:rPr>
        <w:tab/>
        <w:t xml:space="preserve">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Pr>
          <w:spacing w:val="-3"/>
          <w:kern w:val="2"/>
          <w:sz w:val="22"/>
          <w:u w:val="single"/>
        </w:rPr>
        <w:t xml:space="preserve"> </w:t>
      </w:r>
      <w:r>
        <w:rPr>
          <w:rFonts w:cs="Arial Narrow" w:ascii="Arial Narrow" w:hAnsi="Arial Narrow"/>
          <w:b/>
          <w:spacing w:val="-3"/>
          <w:kern w:val="2"/>
          <w:sz w:val="22"/>
          <w:u w:val="single"/>
        </w:rPr>
        <w:t>X</w:t>
      </w:r>
      <w:r>
        <w:rPr>
          <w:spacing w:val="-3"/>
          <w:kern w:val="2"/>
          <w:sz w:val="22"/>
          <w:u w:val="single"/>
        </w:rPr>
        <w:t xml:space="preserve"> </w:t>
      </w:r>
      <w:r>
        <w:rPr>
          <w:spacing w:val="-3"/>
          <w:kern w:val="2"/>
          <w:sz w:val="22"/>
        </w:rPr>
        <w:t xml:space="preserve">     No</w:t>
      </w:r>
      <w:r>
        <w:rPr>
          <w:spacing w:val="-3"/>
          <w:kern w:val="2"/>
          <w:sz w:val="24"/>
        </w:rPr>
        <w:t xml:space="preserve"> </w:t>
      </w:r>
      <w:r>
        <w:rPr>
          <w:spacing w:val="-3"/>
          <w:kern w:val="2"/>
          <w:sz w:val="24"/>
          <w:u w:val="single"/>
        </w:rPr>
        <w:t xml:space="preserve">    </w:t>
      </w:r>
      <w:r>
        <w:rPr>
          <w:spacing w:val="-3"/>
          <w:kern w:val="2"/>
          <w:sz w:val="24"/>
        </w:rPr>
        <w:t xml:space="preserve"> </w:t>
      </w:r>
      <w:r>
        <w:br w:type="page"/>
      </w:r>
    </w:p>
    <w:p>
      <w:pPr>
        <w:pStyle w:val="Normal"/>
        <w:suppressAutoHyphens w:val="true"/>
        <w:jc w:val="center"/>
        <w:rPr>
          <w:b/>
          <w:kern w:val="2"/>
          <w:sz w:val="22"/>
        </w:rPr>
      </w:pPr>
      <w:r>
        <w:rPr>
          <w:b/>
          <w:kern w:val="2"/>
          <w:sz w:val="22"/>
        </w:rPr>
        <w:t>EOTT ENERGY PARTNERS, L.P.</w:t>
      </w:r>
    </w:p>
    <w:p>
      <w:pPr>
        <w:pStyle w:val="Normal"/>
        <w:suppressAutoHyphens w:val="true"/>
        <w:jc w:val="center"/>
        <w:rPr>
          <w:b/>
          <w:kern w:val="2"/>
          <w:sz w:val="22"/>
        </w:rPr>
      </w:pPr>
      <w:r>
        <w:rPr>
          <w:b/>
          <w:kern w:val="2"/>
          <w:sz w:val="22"/>
        </w:rPr>
      </w:r>
    </w:p>
    <w:p>
      <w:pPr>
        <w:pStyle w:val="Normal"/>
        <w:suppressAutoHyphens w:val="true"/>
        <w:jc w:val="center"/>
        <w:rPr>
          <w:b/>
          <w:kern w:val="2"/>
          <w:sz w:val="22"/>
        </w:rPr>
      </w:pPr>
      <w:r>
        <w:rPr>
          <w:b/>
          <w:kern w:val="2"/>
          <w:sz w:val="22"/>
        </w:rPr>
        <w:t>TABLE OF CONTENTS</w:t>
      </w:r>
    </w:p>
    <w:p>
      <w:pPr>
        <w:pStyle w:val="Normal"/>
        <w:suppressAutoHyphens w:val="true"/>
        <w:jc w:val="center"/>
        <w:rPr>
          <w:b/>
          <w:kern w:val="2"/>
          <w:sz w:val="22"/>
        </w:rPr>
      </w:pPr>
      <w:r>
        <w:rPr>
          <w:b/>
          <w:kern w:val="2"/>
          <w:sz w:val="22"/>
        </w:rPr>
      </w:r>
    </w:p>
    <w:p>
      <w:pPr>
        <w:pStyle w:val="Normal"/>
        <w:suppressAutoHyphens w:val="true"/>
        <w:jc w:val="center"/>
        <w:rPr>
          <w:kern w:val="2"/>
          <w:sz w:val="22"/>
        </w:rPr>
      </w:pPr>
      <w:r>
        <w:rPr>
          <w:kern w:val="2"/>
          <w:sz w:val="22"/>
        </w:rPr>
      </w:r>
    </w:p>
    <w:p>
      <w:pPr>
        <w:pStyle w:val="Normal"/>
        <w:tabs>
          <w:tab w:val="left" w:pos="180" w:leader="none"/>
          <w:tab w:val="left" w:pos="450" w:leader="none"/>
          <w:tab w:val="left" w:pos="720" w:leader="none"/>
          <w:tab w:val="left" w:pos="990" w:leader="none"/>
          <w:tab w:val="center" w:pos="8460" w:leader="none"/>
        </w:tabs>
        <w:suppressAutoHyphens w:val="true"/>
        <w:jc w:val="both"/>
        <w:rPr>
          <w:spacing w:val="-2"/>
          <w:kern w:val="2"/>
          <w:sz w:val="22"/>
        </w:rPr>
      </w:pPr>
      <w:r>
        <w:rPr>
          <w:spacing w:val="-2"/>
          <w:kern w:val="2"/>
          <w:sz w:val="22"/>
        </w:rPr>
        <w:tab/>
        <w:tab/>
        <w:tab/>
        <w:tab/>
        <w:tab/>
      </w:r>
      <w:r>
        <w:rPr>
          <w:spacing w:val="-2"/>
          <w:kern w:val="2"/>
          <w:sz w:val="22"/>
          <w:u w:val="single"/>
        </w:rPr>
        <w:t>Page</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center"/>
        <w:rPr>
          <w:b/>
          <w:spacing w:val="-2"/>
          <w:kern w:val="2"/>
          <w:sz w:val="22"/>
        </w:rPr>
      </w:pPr>
      <w:r>
        <w:rPr>
          <w:b/>
          <w:spacing w:val="-2"/>
          <w:kern w:val="2"/>
          <w:sz w:val="22"/>
        </w:rPr>
        <w:t>PART I.  FINANCIAL INFORMATION</w:t>
      </w:r>
    </w:p>
    <w:p>
      <w:pPr>
        <w:pStyle w:val="Normal"/>
        <w:tabs>
          <w:tab w:val="left" w:pos="180" w:leader="none"/>
          <w:tab w:val="left" w:pos="450" w:leader="none"/>
          <w:tab w:val="left" w:pos="720" w:leader="none"/>
          <w:tab w:val="left" w:pos="990" w:leader="none"/>
          <w:tab w:val="right" w:pos="8640" w:leader="dot"/>
        </w:tabs>
        <w:suppressAutoHyphens w:val="true"/>
        <w:jc w:val="both"/>
        <w:rPr>
          <w:b/>
          <w:spacing w:val="-2"/>
          <w:kern w:val="2"/>
          <w:sz w:val="22"/>
        </w:rPr>
      </w:pPr>
      <w:r>
        <w:rPr>
          <w:b/>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ITEM 1.</w:t>
        <w:tab/>
        <w:t>Financial Statements</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ab/>
        <w:t xml:space="preserve">Condensed Consolidated Statements of Operations (Unaudited) – </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ab/>
        <w:tab/>
        <w:t>Three Months Ended March 31, 2001 and 2000</w:t>
        <w:tab/>
        <w:t>3</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pStyle w:val="Normal"/>
        <w:tabs>
          <w:tab w:val="left" w:pos="180" w:leader="none"/>
          <w:tab w:val="left" w:pos="450" w:leader="none"/>
          <w:tab w:val="left" w:pos="720" w:leader="none"/>
          <w:tab w:val="left" w:pos="900" w:leader="none"/>
          <w:tab w:val="right" w:pos="8640" w:leader="dot"/>
        </w:tabs>
        <w:suppressAutoHyphens w:val="true"/>
        <w:jc w:val="both"/>
        <w:rPr>
          <w:spacing w:val="-2"/>
          <w:kern w:val="2"/>
          <w:sz w:val="22"/>
        </w:rPr>
      </w:pPr>
      <w:r>
        <w:rPr>
          <w:spacing w:val="-2"/>
          <w:kern w:val="2"/>
          <w:sz w:val="22"/>
        </w:rPr>
        <w:tab/>
        <w:t xml:space="preserve">Condensed Consolidated Balance Sheets (Unaudited) – </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ab/>
        <w:tab/>
        <w:t>March 31, 2001 and December 31, 2000</w:t>
        <w:tab/>
        <w:t>4</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ab/>
        <w:t xml:space="preserve">Condensed Consolidated Statements of Cash Flows (Unaudited) – </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ab/>
        <w:tab/>
        <w:t>Three Months Ended March 31, 2001 and 2000</w:t>
        <w:tab/>
        <w:t>5</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ab/>
        <w:t>Condensed Consolidated Statement of Partners’ Capital (Unaudited) –</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ab/>
        <w:tab/>
        <w:t>Three Months Ended March 31, 2001</w:t>
        <w:tab/>
        <w:t>6</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ab/>
        <w:t>Notes to Condensed Consolidated Financial Statements</w:t>
        <w:tab/>
        <w:t>7</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 xml:space="preserve">ITEM 2.  Management’s Discussion and Analysis of Financial </w:t>
      </w:r>
    </w:p>
    <w:p>
      <w:pPr>
        <w:pStyle w:val="Normal"/>
        <w:tabs>
          <w:tab w:val="left" w:pos="180" w:leader="none"/>
          <w:tab w:val="left" w:pos="450" w:leader="none"/>
          <w:tab w:val="left" w:pos="720" w:leader="none"/>
          <w:tab w:val="left" w:pos="900" w:leader="none"/>
          <w:tab w:val="right" w:pos="8640" w:leader="dot"/>
        </w:tabs>
        <w:suppressAutoHyphens w:val="true"/>
        <w:jc w:val="both"/>
        <w:rPr>
          <w:spacing w:val="-2"/>
          <w:kern w:val="2"/>
          <w:sz w:val="22"/>
        </w:rPr>
      </w:pPr>
      <w:r>
        <w:rPr>
          <w:spacing w:val="-2"/>
          <w:kern w:val="2"/>
          <w:sz w:val="22"/>
        </w:rPr>
        <w:tab/>
        <w:tab/>
        <w:tab/>
        <w:t xml:space="preserve">   Condition and Results of Operations</w:t>
        <w:tab/>
        <w:t>12</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ITEM 3.  Quantitative and Qualitative Disclosures about Market Risk</w:t>
        <w:tab/>
        <w:t>18</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center"/>
        <w:rPr>
          <w:b/>
          <w:spacing w:val="-2"/>
          <w:kern w:val="2"/>
          <w:sz w:val="22"/>
        </w:rPr>
      </w:pPr>
      <w:r>
        <w:rPr>
          <w:b/>
          <w:spacing w:val="-2"/>
          <w:kern w:val="2"/>
          <w:sz w:val="22"/>
        </w:rPr>
        <w:t>PART II.  OTHER INFORMATION</w:t>
      </w:r>
    </w:p>
    <w:p>
      <w:pPr>
        <w:pStyle w:val="Normal"/>
        <w:tabs>
          <w:tab w:val="left" w:pos="180" w:leader="none"/>
          <w:tab w:val="left" w:pos="450" w:leader="none"/>
          <w:tab w:val="left" w:pos="720" w:leader="none"/>
          <w:tab w:val="left" w:pos="990" w:leader="none"/>
          <w:tab w:val="right" w:pos="8640" w:leader="dot"/>
        </w:tabs>
        <w:suppressAutoHyphens w:val="true"/>
        <w:jc w:val="both"/>
        <w:rPr>
          <w:b/>
          <w:spacing w:val="-2"/>
          <w:kern w:val="2"/>
          <w:sz w:val="22"/>
        </w:rPr>
      </w:pPr>
      <w:r>
        <w:rPr>
          <w:b/>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ITEM 1.  Legal Proceedings</w:t>
        <w:tab/>
        <w:t>19</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ITEM 6.  Exhibits and Reports on Form 8-K</w:t>
        <w:tab/>
        <w:t>19</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sectPr>
          <w:headerReference w:type="default" r:id="rId2"/>
          <w:headerReference w:type="first" r:id="rId3"/>
          <w:footerReference w:type="default" r:id="rId4"/>
          <w:footerReference w:type="first" r:id="rId5"/>
          <w:type w:val="nextPage"/>
          <w:pgSz w:w="12240" w:h="15840"/>
          <w:pgMar w:left="1440" w:right="1440" w:gutter="0" w:header="1080" w:top="1170" w:footer="1080" w:bottom="1440"/>
          <w:pgNumType w:start="1" w:fmt="decimal"/>
          <w:formProt w:val="false"/>
          <w:titlePg/>
          <w:textDirection w:val="lrTb"/>
          <w:docGrid w:type="default" w:linePitch="360" w:charSpace="0"/>
        </w:sectPr>
        <w:pStyle w:val="Normal"/>
        <w:tabs>
          <w:tab w:val="clear" w:pos="720"/>
          <w:tab w:val="left" w:pos="346" w:leader="none"/>
          <w:tab w:val="left" w:pos="778" w:leader="none"/>
          <w:tab w:val="left" w:pos="1123" w:leader="none"/>
          <w:tab w:val="left" w:pos="1469" w:leader="none"/>
          <w:tab w:val="center" w:pos="8294" w:leader="none"/>
        </w:tabs>
        <w:suppressAutoHyphens w:val="true"/>
        <w:jc w:val="both"/>
        <w:rPr>
          <w:spacing w:val="-2"/>
          <w:kern w:val="2"/>
          <w:sz w:val="22"/>
        </w:rPr>
      </w:pPr>
      <w:r>
        <w:rPr>
          <w:spacing w:val="-2"/>
          <w:kern w:val="2"/>
          <w:sz w:val="22"/>
        </w:rPr>
      </w:r>
    </w:p>
    <w:p>
      <w:pPr>
        <w:pStyle w:val="Normal"/>
        <w:tabs>
          <w:tab w:val="clear" w:pos="720"/>
          <w:tab w:val="left" w:pos="346" w:leader="none"/>
          <w:tab w:val="left" w:pos="778" w:leader="none"/>
          <w:tab w:val="left" w:pos="1123" w:leader="none"/>
          <w:tab w:val="left" w:pos="1469" w:leader="none"/>
          <w:tab w:val="center" w:pos="8294" w:leader="none"/>
        </w:tabs>
        <w:suppressAutoHyphens w:val="true"/>
        <w:jc w:val="both"/>
        <w:rPr>
          <w:b/>
          <w:spacing w:val="-2"/>
          <w:kern w:val="2"/>
          <w:sz w:val="21"/>
        </w:rPr>
      </w:pPr>
      <w:r>
        <w:rPr>
          <w:b/>
          <w:spacing w:val="-2"/>
          <w:kern w:val="2"/>
          <w:sz w:val="21"/>
        </w:rPr>
      </w:r>
    </w:p>
    <w:p>
      <w:pPr>
        <w:pStyle w:val="Normal"/>
        <w:tabs>
          <w:tab w:val="clear" w:pos="720"/>
          <w:tab w:val="center" w:pos="4680" w:leader="none"/>
        </w:tabs>
        <w:suppressAutoHyphens w:val="true"/>
        <w:jc w:val="both"/>
        <w:rPr>
          <w:spacing w:val="-2"/>
          <w:kern w:val="2"/>
          <w:sz w:val="21"/>
        </w:rPr>
      </w:pPr>
      <w:r>
        <w:rPr>
          <w:b/>
          <w:spacing w:val="-2"/>
          <w:kern w:val="2"/>
          <w:sz w:val="21"/>
        </w:rPr>
        <w:tab/>
      </w:r>
    </w:p>
    <w:p>
      <w:pPr>
        <w:pStyle w:val="Normal"/>
        <w:tabs>
          <w:tab w:val="left" w:pos="360" w:leader="none"/>
          <w:tab w:val="left" w:pos="720" w:leader="none"/>
          <w:tab w:val="left" w:pos="6480" w:leader="none"/>
          <w:tab w:val="center" w:pos="7740" w:leader="none"/>
          <w:tab w:val="right" w:pos="9000" w:leader="none"/>
        </w:tabs>
        <w:suppressAutoHyphens w:val="true"/>
        <w:spacing w:lineRule="auto" w:line="216"/>
        <w:jc w:val="both"/>
        <w:rPr>
          <w:b/>
          <w:spacing w:val="-2"/>
          <w:kern w:val="2"/>
          <w:sz w:val="17"/>
        </w:rPr>
      </w:pPr>
      <w:r>
        <w:rPr>
          <w:b/>
          <w:spacing w:val="-2"/>
          <w:kern w:val="2"/>
          <w:sz w:val="17"/>
        </w:rPr>
        <w:tab/>
        <w:tab/>
        <w:tab/>
        <w:tab/>
      </w:r>
    </w:p>
    <w:p>
      <w:pPr>
        <w:pStyle w:val="Normal"/>
        <w:tabs>
          <w:tab w:val="clear" w:pos="720"/>
          <w:tab w:val="center" w:pos="4680" w:leader="none"/>
        </w:tabs>
        <w:suppressAutoHyphens w:val="true"/>
        <w:jc w:val="both"/>
        <w:rPr>
          <w:b/>
          <w:spacing w:val="-2"/>
          <w:kern w:val="2"/>
          <w:sz w:val="21"/>
        </w:rPr>
      </w:pPr>
      <w:r>
        <w:rPr>
          <w:b/>
          <w:spacing w:val="-2"/>
          <w:kern w:val="2"/>
          <w:sz w:val="21"/>
        </w:rPr>
        <w:tab/>
        <w:t>PART I. FINANCIAL INFORMATION</w:t>
      </w:r>
    </w:p>
    <w:p>
      <w:pPr>
        <w:pStyle w:val="Normal"/>
        <w:tabs>
          <w:tab w:val="clear" w:pos="720"/>
          <w:tab w:val="left" w:pos="346" w:leader="none"/>
          <w:tab w:val="left" w:pos="778" w:leader="none"/>
          <w:tab w:val="left" w:pos="1123" w:leader="none"/>
          <w:tab w:val="left" w:pos="1469" w:leader="none"/>
          <w:tab w:val="center" w:pos="8294" w:leader="none"/>
        </w:tabs>
        <w:suppressAutoHyphens w:val="true"/>
        <w:jc w:val="both"/>
        <w:rPr>
          <w:b/>
          <w:spacing w:val="-2"/>
          <w:kern w:val="2"/>
          <w:sz w:val="21"/>
        </w:rPr>
      </w:pPr>
      <w:r>
        <w:rPr>
          <w:b/>
          <w:spacing w:val="-2"/>
          <w:kern w:val="2"/>
          <w:sz w:val="21"/>
        </w:rPr>
      </w:r>
    </w:p>
    <w:p>
      <w:pPr>
        <w:pStyle w:val="Normal"/>
        <w:tabs>
          <w:tab w:val="clear" w:pos="720"/>
          <w:tab w:val="center" w:pos="4680" w:leader="none"/>
        </w:tabs>
        <w:suppressAutoHyphens w:val="true"/>
        <w:jc w:val="both"/>
        <w:rPr>
          <w:b/>
          <w:spacing w:val="-2"/>
          <w:kern w:val="2"/>
          <w:sz w:val="21"/>
        </w:rPr>
      </w:pPr>
      <w:r>
        <w:rPr>
          <w:b/>
          <w:spacing w:val="-2"/>
          <w:kern w:val="2"/>
          <w:sz w:val="21"/>
        </w:rPr>
        <w:tab/>
        <w:t>ITEM 1. FINANCIAL STATEMENTS</w:t>
      </w:r>
    </w:p>
    <w:p>
      <w:pPr>
        <w:pStyle w:val="Normal"/>
        <w:tabs>
          <w:tab w:val="clear" w:pos="720"/>
          <w:tab w:val="center" w:pos="4680" w:leader="none"/>
        </w:tabs>
        <w:suppressAutoHyphens w:val="true"/>
        <w:jc w:val="both"/>
        <w:rPr>
          <w:b/>
          <w:spacing w:val="-2"/>
          <w:kern w:val="2"/>
          <w:sz w:val="21"/>
        </w:rPr>
      </w:pPr>
      <w:r>
        <w:rPr>
          <w:b/>
          <w:spacing w:val="-2"/>
          <w:kern w:val="2"/>
          <w:sz w:val="21"/>
        </w:rPr>
        <w:tab/>
        <w:t>EOTT ENERGY PARTNERS, L.P.</w:t>
      </w:r>
    </w:p>
    <w:p>
      <w:pPr>
        <w:pStyle w:val="Normal"/>
        <w:tabs>
          <w:tab w:val="clear" w:pos="720"/>
          <w:tab w:val="center" w:pos="4680" w:leader="none"/>
        </w:tabs>
        <w:suppressAutoHyphens w:val="true"/>
        <w:jc w:val="both"/>
        <w:rPr>
          <w:b/>
          <w:spacing w:val="-2"/>
          <w:kern w:val="2"/>
          <w:sz w:val="21"/>
        </w:rPr>
      </w:pPr>
      <w:r>
        <w:rPr>
          <w:b/>
          <w:spacing w:val="-2"/>
          <w:kern w:val="2"/>
          <w:sz w:val="21"/>
        </w:rPr>
        <w:tab/>
        <w:t>CONDENSED CONSOLIDATED STATEMENTS OF OPERATIONS</w:t>
      </w:r>
    </w:p>
    <w:p>
      <w:pPr>
        <w:pStyle w:val="Normal"/>
        <w:tabs>
          <w:tab w:val="clear" w:pos="720"/>
          <w:tab w:val="center" w:pos="4680" w:leader="none"/>
        </w:tabs>
        <w:suppressAutoHyphens w:val="true"/>
        <w:jc w:val="both"/>
        <w:rPr>
          <w:b/>
          <w:i/>
          <w:i/>
          <w:spacing w:val="-2"/>
          <w:kern w:val="2"/>
          <w:sz w:val="21"/>
        </w:rPr>
      </w:pPr>
      <w:r>
        <w:rPr>
          <w:b/>
          <w:i/>
          <w:spacing w:val="-2"/>
          <w:kern w:val="2"/>
          <w:sz w:val="21"/>
        </w:rPr>
        <w:tab/>
        <w:t>(In Thousands, Except Per Unit Amounts)</w:t>
      </w:r>
    </w:p>
    <w:p>
      <w:pPr>
        <w:pStyle w:val="Normal"/>
        <w:tabs>
          <w:tab w:val="clear" w:pos="720"/>
          <w:tab w:val="center" w:pos="4680" w:leader="none"/>
        </w:tabs>
        <w:suppressAutoHyphens w:val="true"/>
        <w:jc w:val="both"/>
        <w:rPr>
          <w:b/>
          <w:i/>
          <w:i/>
          <w:spacing w:val="-2"/>
          <w:kern w:val="2"/>
          <w:sz w:val="21"/>
        </w:rPr>
      </w:pPr>
      <w:r>
        <w:rPr>
          <w:b/>
          <w:i/>
          <w:spacing w:val="-2"/>
          <w:kern w:val="2"/>
          <w:sz w:val="21"/>
        </w:rPr>
        <w:tab/>
        <w:t>(Unaudited)</w:t>
      </w:r>
    </w:p>
    <w:p>
      <w:pPr>
        <w:pStyle w:val="Normal"/>
        <w:tabs>
          <w:tab w:val="left" w:pos="360" w:leader="none"/>
          <w:tab w:val="left" w:pos="720" w:leader="none"/>
          <w:tab w:val="left" w:pos="4320" w:leader="none"/>
          <w:tab w:val="center" w:pos="5490" w:leader="none"/>
          <w:tab w:val="right" w:pos="6660" w:leader="none"/>
          <w:tab w:val="left" w:pos="6840" w:leader="none"/>
          <w:tab w:val="center" w:pos="8010" w:leader="none"/>
          <w:tab w:val="right" w:pos="9180" w:leader="none"/>
        </w:tabs>
        <w:suppressAutoHyphens w:val="true"/>
        <w:spacing w:lineRule="auto" w:line="216"/>
        <w:jc w:val="both"/>
        <w:rPr>
          <w:b/>
          <w:i/>
          <w:i/>
          <w:spacing w:val="-2"/>
          <w:kern w:val="2"/>
          <w:sz w:val="18"/>
        </w:rPr>
      </w:pPr>
      <w:r>
        <w:rPr>
          <w:b/>
          <w:i/>
          <w:spacing w:val="-2"/>
          <w:kern w:val="2"/>
          <w:sz w:val="18"/>
        </w:rPr>
      </w:r>
    </w:p>
    <w:p>
      <w:pPr>
        <w:pStyle w:val="Normal"/>
        <w:tabs>
          <w:tab w:val="left" w:pos="360" w:leader="none"/>
          <w:tab w:val="left" w:pos="720" w:leader="none"/>
          <w:tab w:val="left" w:pos="6480" w:leader="none"/>
          <w:tab w:val="center" w:pos="7740" w:leader="none"/>
          <w:tab w:val="right" w:pos="9000" w:leader="none"/>
        </w:tabs>
        <w:suppressAutoHyphens w:val="true"/>
        <w:spacing w:lineRule="auto" w:line="216"/>
        <w:jc w:val="both"/>
        <w:rPr>
          <w:b/>
          <w:spacing w:val="-2"/>
          <w:kern w:val="2"/>
          <w:sz w:val="17"/>
        </w:rPr>
      </w:pPr>
      <w:r>
        <w:rPr>
          <w:b/>
          <w:spacing w:val="-2"/>
          <w:kern w:val="2"/>
          <w:sz w:val="17"/>
        </w:rPr>
        <w:tab/>
        <w:tab/>
        <w:tab/>
        <w:tab/>
        <w:t>Three Months Ended</w:t>
        <w:tab/>
      </w:r>
    </w:p>
    <w:p>
      <w:pPr>
        <w:pStyle w:val="Normal"/>
        <w:tabs>
          <w:tab w:val="left" w:pos="360" w:leader="none"/>
          <w:tab w:val="left" w:pos="720" w:leader="none"/>
          <w:tab w:val="left" w:pos="6480" w:leader="none"/>
          <w:tab w:val="center" w:pos="7740" w:leader="none"/>
          <w:tab w:val="right" w:pos="9000" w:leader="none"/>
        </w:tabs>
        <w:suppressAutoHyphens w:val="true"/>
        <w:spacing w:lineRule="auto" w:line="216"/>
        <w:jc w:val="both"/>
        <w:rPr>
          <w:b/>
          <w:spacing w:val="-2"/>
          <w:kern w:val="2"/>
          <w:sz w:val="17"/>
        </w:rPr>
      </w:pPr>
      <w:r>
        <w:rPr>
          <w:b/>
          <w:spacing w:val="-2"/>
          <w:kern w:val="2"/>
          <w:sz w:val="17"/>
        </w:rPr>
        <w:tab/>
        <w:tab/>
        <w:tab/>
      </w:r>
      <w:r>
        <w:rPr>
          <w:b/>
          <w:spacing w:val="-2"/>
          <w:kern w:val="2"/>
          <w:sz w:val="17"/>
          <w:u w:val="single"/>
        </w:rPr>
        <w:tab/>
        <w:t>March 31,</w:t>
        <w:tab/>
      </w:r>
    </w:p>
    <w:p>
      <w:pPr>
        <w:pStyle w:val="Normal"/>
        <w:tabs>
          <w:tab w:val="left" w:pos="360" w:leader="none"/>
          <w:tab w:val="left" w:pos="720" w:leader="none"/>
          <w:tab w:val="left" w:pos="6480" w:leader="none"/>
          <w:tab w:val="center" w:pos="7020" w:leader="none"/>
          <w:tab w:val="right" w:pos="7560" w:leader="none"/>
          <w:tab w:val="left" w:pos="7920" w:leader="none"/>
          <w:tab w:val="center" w:pos="8460" w:leader="none"/>
          <w:tab w:val="right" w:pos="9000" w:leader="none"/>
        </w:tabs>
        <w:suppressAutoHyphens w:val="true"/>
        <w:spacing w:lineRule="auto" w:line="216"/>
        <w:jc w:val="both"/>
        <w:rPr>
          <w:spacing w:val="-2"/>
          <w:kern w:val="2"/>
          <w:sz w:val="17"/>
        </w:rPr>
      </w:pPr>
      <w:r>
        <w:rPr>
          <w:b/>
          <w:spacing w:val="-2"/>
          <w:kern w:val="2"/>
          <w:sz w:val="17"/>
        </w:rPr>
        <w:tab/>
        <w:tab/>
        <w:tab/>
      </w:r>
      <w:r>
        <w:rPr>
          <w:b/>
          <w:spacing w:val="-2"/>
          <w:kern w:val="2"/>
          <w:sz w:val="17"/>
          <w:u w:val="single"/>
        </w:rPr>
        <w:tab/>
        <w:t>2001</w:t>
        <w:tab/>
      </w:r>
      <w:r>
        <w:rPr>
          <w:b/>
          <w:spacing w:val="-2"/>
          <w:kern w:val="2"/>
          <w:sz w:val="17"/>
        </w:rPr>
        <w:tab/>
      </w:r>
      <w:r>
        <w:rPr>
          <w:b/>
          <w:spacing w:val="-2"/>
          <w:kern w:val="2"/>
          <w:sz w:val="17"/>
          <w:u w:val="single"/>
        </w:rPr>
        <w:tab/>
        <w:t>2000</w:t>
        <w:tab/>
      </w:r>
    </w:p>
    <w:p>
      <w:pPr>
        <w:pStyle w:val="Normal"/>
        <w:tabs>
          <w:tab w:val="left" w:pos="360" w:leader="none"/>
          <w:tab w:val="left" w:pos="720" w:leader="none"/>
          <w:tab w:val="center" w:pos="5940" w:leader="none"/>
          <w:tab w:val="center" w:pos="7380" w:leader="none"/>
        </w:tabs>
        <w:suppressAutoHyphens w:val="true"/>
        <w:jc w:val="both"/>
        <w:rPr>
          <w:spacing w:val="-2"/>
          <w:kern w:val="2"/>
          <w:sz w:val="17"/>
        </w:rPr>
      </w:pPr>
      <w:r>
        <w:rPr>
          <w:spacing w:val="-2"/>
          <w:kern w:val="2"/>
          <w:sz w:val="17"/>
        </w:rPr>
      </w:r>
    </w:p>
    <w:p>
      <w:pPr>
        <w:pStyle w:val="Normal"/>
        <w:tabs>
          <w:tab w:val="clear" w:pos="720"/>
          <w:tab w:val="left" w:pos="180" w:leader="none"/>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spacing w:before="0" w:after="120"/>
        <w:jc w:val="both"/>
        <w:rPr>
          <w:spacing w:val="-2"/>
          <w:kern w:val="2"/>
          <w:sz w:val="21"/>
        </w:rPr>
      </w:pPr>
      <w:r>
        <w:rPr>
          <w:spacing w:val="-2"/>
          <w:kern w:val="2"/>
          <w:sz w:val="21"/>
        </w:rPr>
        <w:t>Revenue</w:t>
        <w:tab/>
        <w:tab/>
        <w:t>$</w:t>
        <w:tab/>
        <w:t>2,544,437</w:t>
        <w:tab/>
        <w:t>$</w:t>
        <w:tab/>
        <w:t>2,681,696</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spacing w:before="0" w:after="120"/>
        <w:ind w:hanging="360" w:start="360" w:end="0"/>
        <w:jc w:val="both"/>
        <w:rPr/>
      </w:pPr>
      <w:r>
        <w:rPr>
          <w:spacing w:val="-2"/>
          <w:kern w:val="2"/>
          <w:sz w:val="21"/>
        </w:rPr>
        <w:t>Cost of Sales</w:t>
        <w:tab/>
        <w:tab/>
      </w:r>
      <w:r>
        <w:rPr>
          <w:spacing w:val="-2"/>
          <w:kern w:val="2"/>
          <w:sz w:val="21"/>
          <w:u w:val="single"/>
        </w:rPr>
        <w:tab/>
        <w:t>2,484,383</w:t>
      </w:r>
      <w:r>
        <w:rPr>
          <w:spacing w:val="-2"/>
          <w:kern w:val="2"/>
          <w:sz w:val="21"/>
        </w:rPr>
        <w:tab/>
      </w:r>
      <w:r>
        <w:rPr>
          <w:spacing w:val="-2"/>
          <w:kern w:val="2"/>
          <w:sz w:val="21"/>
          <w:u w:val="single"/>
        </w:rPr>
        <w:tab/>
        <w:t>2,625,232</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spacing w:before="0" w:after="120"/>
        <w:jc w:val="both"/>
        <w:rPr>
          <w:spacing w:val="-2"/>
          <w:kern w:val="2"/>
          <w:sz w:val="21"/>
        </w:rPr>
      </w:pPr>
      <w:r>
        <w:rPr>
          <w:spacing w:val="-2"/>
          <w:kern w:val="2"/>
          <w:sz w:val="21"/>
        </w:rPr>
        <w:t>Gross Margin</w:t>
        <w:tab/>
        <w:tab/>
        <w:tab/>
        <w:t>60,054</w:t>
        <w:tab/>
        <w:tab/>
        <w:t>56,464</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jc w:val="both"/>
        <w:rPr>
          <w:spacing w:val="-2"/>
          <w:kern w:val="2"/>
          <w:sz w:val="21"/>
        </w:rPr>
      </w:pPr>
      <w:r>
        <w:rPr>
          <w:spacing w:val="-2"/>
          <w:kern w:val="2"/>
          <w:sz w:val="21"/>
        </w:rPr>
        <w:t>Expenses</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jc w:val="both"/>
        <w:rPr>
          <w:spacing w:val="-2"/>
          <w:kern w:val="2"/>
          <w:sz w:val="21"/>
        </w:rPr>
      </w:pPr>
      <w:r>
        <w:rPr>
          <w:spacing w:val="-2"/>
          <w:kern w:val="2"/>
          <w:sz w:val="21"/>
        </w:rPr>
        <w:tab/>
        <w:t>Operating expenses</w:t>
        <w:tab/>
        <w:tab/>
        <w:tab/>
        <w:t>39,056</w:t>
        <w:tab/>
        <w:tab/>
        <w:t>37,500</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jc w:val="both"/>
        <w:rPr>
          <w:spacing w:val="-2"/>
          <w:kern w:val="2"/>
          <w:sz w:val="21"/>
        </w:rPr>
      </w:pPr>
      <w:r>
        <w:rPr>
          <w:spacing w:val="-2"/>
          <w:kern w:val="2"/>
          <w:sz w:val="21"/>
        </w:rPr>
        <w:tab/>
        <w:t>Depreciation and amortization</w:t>
        <w:tab/>
        <w:tab/>
      </w:r>
      <w:r>
        <w:rPr>
          <w:spacing w:val="-2"/>
          <w:kern w:val="2"/>
          <w:sz w:val="21"/>
          <w:u w:val="single"/>
        </w:rPr>
        <w:tab/>
        <w:t>8,507</w:t>
      </w:r>
      <w:r>
        <w:rPr>
          <w:spacing w:val="-2"/>
          <w:kern w:val="2"/>
          <w:sz w:val="21"/>
        </w:rPr>
        <w:tab/>
      </w:r>
      <w:r>
        <w:rPr>
          <w:spacing w:val="-2"/>
          <w:kern w:val="2"/>
          <w:sz w:val="21"/>
          <w:u w:val="single"/>
        </w:rPr>
        <w:tab/>
        <w:t>8,392</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jc w:val="both"/>
        <w:rPr>
          <w:spacing w:val="-2"/>
          <w:kern w:val="2"/>
          <w:sz w:val="21"/>
        </w:rPr>
      </w:pPr>
      <w:r>
        <w:rPr>
          <w:spacing w:val="-2"/>
          <w:kern w:val="2"/>
          <w:sz w:val="21"/>
        </w:rPr>
        <w:tab/>
        <w:tab/>
        <w:t>Total</w:t>
        <w:tab/>
        <w:tab/>
      </w:r>
      <w:r>
        <w:rPr>
          <w:spacing w:val="-2"/>
          <w:kern w:val="2"/>
          <w:sz w:val="21"/>
          <w:u w:val="single"/>
        </w:rPr>
        <w:tab/>
        <w:t>47,563</w:t>
      </w:r>
      <w:r>
        <w:rPr>
          <w:spacing w:val="-2"/>
          <w:kern w:val="2"/>
          <w:sz w:val="21"/>
        </w:rPr>
        <w:tab/>
      </w:r>
      <w:r>
        <w:rPr>
          <w:spacing w:val="-2"/>
          <w:kern w:val="2"/>
          <w:sz w:val="21"/>
          <w:u w:val="single"/>
        </w:rPr>
        <w:tab/>
        <w:t>45,892</w:t>
      </w:r>
    </w:p>
    <w:p>
      <w:pPr>
        <w:pStyle w:val="BodyText2"/>
        <w:tabs>
          <w:tab w:val="left" w:pos="180" w:leader="none"/>
          <w:tab w:val="left" w:pos="355" w:leader="none"/>
          <w:tab w:val="left" w:pos="720" w:leader="none"/>
          <w:tab w:val="left" w:pos="6300" w:leader="dot"/>
          <w:tab w:val="left" w:pos="6480" w:leader="none"/>
          <w:tab w:val="decimal" w:pos="7560" w:leader="none"/>
          <w:tab w:val="left" w:pos="7920" w:leader="none"/>
          <w:tab w:val="decimal" w:pos="9000" w:leader="none"/>
        </w:tabs>
        <w:suppressAutoHyphens w:val="true"/>
        <w:spacing w:before="120" w:after="120"/>
        <w:rPr/>
      </w:pPr>
      <w:r>
        <w:rPr/>
        <w:t xml:space="preserve">Operating Income </w:t>
        <w:tab/>
        <w:tab/>
        <w:tab/>
        <w:t>12,491</w:t>
        <w:tab/>
        <w:tab/>
        <w:t>10,572</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jc w:val="both"/>
        <w:rPr>
          <w:spacing w:val="-2"/>
          <w:kern w:val="2"/>
          <w:sz w:val="21"/>
        </w:rPr>
      </w:pPr>
      <w:r>
        <w:rPr>
          <w:spacing w:val="-2"/>
          <w:kern w:val="2"/>
          <w:sz w:val="21"/>
        </w:rPr>
        <w:t>Other Income (Expense)</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jc w:val="both"/>
        <w:rPr>
          <w:spacing w:val="-2"/>
          <w:kern w:val="2"/>
          <w:sz w:val="21"/>
        </w:rPr>
      </w:pPr>
      <w:r>
        <w:rPr>
          <w:spacing w:val="-2"/>
          <w:kern w:val="2"/>
          <w:sz w:val="21"/>
        </w:rPr>
        <w:tab/>
        <w:t>Interest income</w:t>
        <w:tab/>
        <w:tab/>
        <w:tab/>
        <w:t>300</w:t>
        <w:tab/>
        <w:tab/>
        <w:t>178</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jc w:val="both"/>
        <w:rPr>
          <w:spacing w:val="-2"/>
          <w:kern w:val="2"/>
          <w:sz w:val="21"/>
        </w:rPr>
      </w:pPr>
      <w:r>
        <w:rPr>
          <w:spacing w:val="-2"/>
          <w:kern w:val="2"/>
          <w:sz w:val="21"/>
        </w:rPr>
        <w:tab/>
        <w:t>Interest and related charges</w:t>
        <w:tab/>
        <w:tab/>
        <w:tab/>
        <w:t>(7,166)</w:t>
        <w:tab/>
        <w:tab/>
        <w:t>(7,649)</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jc w:val="both"/>
        <w:rPr/>
      </w:pPr>
      <w:r>
        <w:rPr>
          <w:spacing w:val="-2"/>
          <w:kern w:val="2"/>
          <w:sz w:val="21"/>
        </w:rPr>
        <w:tab/>
        <w:t>Other, net</w:t>
        <w:tab/>
        <w:tab/>
      </w:r>
      <w:r>
        <w:rPr>
          <w:spacing w:val="-2"/>
          <w:kern w:val="2"/>
          <w:sz w:val="21"/>
          <w:u w:val="single"/>
        </w:rPr>
        <w:tab/>
        <w:t>(356</w:t>
      </w:r>
      <w:r>
        <w:rPr>
          <w:spacing w:val="-2"/>
          <w:kern w:val="2"/>
          <w:sz w:val="21"/>
        </w:rPr>
        <w:t>)</w:t>
        <w:tab/>
      </w:r>
      <w:r>
        <w:rPr>
          <w:spacing w:val="-2"/>
          <w:kern w:val="2"/>
          <w:sz w:val="21"/>
          <w:u w:val="single"/>
        </w:rPr>
        <w:tab/>
        <w:t>(880</w:t>
      </w:r>
      <w:r>
        <w:rPr>
          <w:spacing w:val="-2"/>
          <w:kern w:val="2"/>
          <w:sz w:val="21"/>
        </w:rPr>
        <w:t>)</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jc w:val="both"/>
        <w:rPr/>
      </w:pPr>
      <w:r>
        <w:rPr>
          <w:spacing w:val="-2"/>
          <w:kern w:val="2"/>
          <w:sz w:val="21"/>
        </w:rPr>
        <w:tab/>
        <w:tab/>
        <w:t>Total</w:t>
        <w:tab/>
        <w:tab/>
      </w:r>
      <w:r>
        <w:rPr>
          <w:spacing w:val="-2"/>
          <w:kern w:val="2"/>
          <w:sz w:val="21"/>
          <w:u w:val="single"/>
        </w:rPr>
        <w:tab/>
        <w:t>(7,222</w:t>
      </w:r>
      <w:r>
        <w:rPr>
          <w:spacing w:val="-2"/>
          <w:kern w:val="2"/>
          <w:sz w:val="21"/>
        </w:rPr>
        <w:t>)</w:t>
        <w:tab/>
      </w:r>
      <w:r>
        <w:rPr>
          <w:spacing w:val="-2"/>
          <w:kern w:val="2"/>
          <w:sz w:val="21"/>
          <w:u w:val="single"/>
        </w:rPr>
        <w:tab/>
        <w:t>(8,351</w:t>
      </w:r>
      <w:r>
        <w:rPr>
          <w:spacing w:val="-2"/>
          <w:kern w:val="2"/>
          <w:sz w:val="21"/>
        </w:rPr>
        <w:t>)</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spacing w:before="160" w:after="0"/>
        <w:jc w:val="both"/>
        <w:rPr>
          <w:spacing w:val="-2"/>
          <w:kern w:val="2"/>
          <w:sz w:val="21"/>
        </w:rPr>
      </w:pPr>
      <w:r>
        <w:rPr>
          <w:spacing w:val="-2"/>
          <w:kern w:val="2"/>
          <w:sz w:val="21"/>
        </w:rPr>
        <w:t>Net Income Before Cumulative Effect of Accounting Changes</w:t>
        <w:tab/>
        <w:tab/>
        <w:tab/>
        <w:t>5,269</w:t>
        <w:tab/>
        <w:tab/>
        <w:t>2,221</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spacing w:before="120" w:after="120"/>
        <w:jc w:val="both"/>
        <w:rPr>
          <w:spacing w:val="-2"/>
          <w:kern w:val="2"/>
          <w:sz w:val="21"/>
        </w:rPr>
      </w:pPr>
      <w:r>
        <w:rPr>
          <w:spacing w:val="-2"/>
          <w:kern w:val="2"/>
          <w:sz w:val="21"/>
        </w:rPr>
        <w:t xml:space="preserve">Cumulative Effect of Accounting Changes (Note </w:t>
      </w:r>
      <w:r>
        <w:rPr>
          <w:color w:val="FF0000"/>
          <w:spacing w:val="-2"/>
          <w:kern w:val="2"/>
          <w:sz w:val="21"/>
        </w:rPr>
        <w:t>2 and 3</w:t>
      </w:r>
      <w:r>
        <w:rPr>
          <w:spacing w:val="-2"/>
          <w:kern w:val="2"/>
          <w:sz w:val="21"/>
        </w:rPr>
        <w:t>)</w:t>
        <w:tab/>
        <w:tab/>
      </w:r>
      <w:r>
        <w:rPr>
          <w:spacing w:val="-2"/>
          <w:kern w:val="2"/>
          <w:sz w:val="21"/>
          <w:u w:val="single"/>
        </w:rPr>
        <w:tab/>
      </w:r>
      <w:r>
        <w:rPr>
          <w:rFonts w:eastAsia="Symbol" w:cs="Symbol" w:ascii="Symbol" w:hAnsi="Symbol"/>
          <w:spacing w:val="-2"/>
          <w:kern w:val="2"/>
          <w:sz w:val="21"/>
          <w:u w:val="single"/>
        </w:rPr>
        <w:sym w:font="Symbol" w:char="f020"/>
        <w:sym w:font="Symbol" w:char="f020"/>
      </w:r>
      <w:r>
        <w:rPr>
          <w:spacing w:val="-2"/>
          <w:kern w:val="2"/>
          <w:sz w:val="21"/>
          <w:u w:val="single"/>
        </w:rPr>
        <w:t>1,073</w:t>
      </w:r>
      <w:r>
        <w:rPr>
          <w:spacing w:val="-2"/>
          <w:kern w:val="2"/>
          <w:sz w:val="21"/>
        </w:rPr>
        <w:tab/>
      </w:r>
      <w:r>
        <w:rPr>
          <w:spacing w:val="-2"/>
          <w:kern w:val="2"/>
          <w:sz w:val="21"/>
          <w:u w:val="single"/>
        </w:rPr>
        <w:tab/>
      </w:r>
      <w:r>
        <w:rPr>
          <w:rFonts w:eastAsia="Symbol" w:cs="Symbol" w:ascii="Symbol" w:hAnsi="Symbol"/>
          <w:spacing w:val="-2"/>
          <w:kern w:val="2"/>
          <w:sz w:val="21"/>
          <w:u w:val="single"/>
        </w:rPr>
        <w:sym w:font="Symbol" w:char="f02d"/>
        <w:sym w:font="Symbol" w:char="f020"/>
        <w:sym w:font="Symbol" w:char="f020"/>
        <w:sym w:font="Symbol" w:char="f020"/>
        <w:sym w:font="Symbol" w:char="f020"/>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spacing w:before="120" w:after="0"/>
        <w:jc w:val="both"/>
        <w:rPr/>
      </w:pPr>
      <w:r>
        <w:rPr>
          <w:spacing w:val="-2"/>
          <w:kern w:val="2"/>
          <w:sz w:val="21"/>
        </w:rPr>
        <w:t>Net Income</w:t>
        <w:tab/>
        <w:tab/>
      </w:r>
      <w:r>
        <w:rPr>
          <w:spacing w:val="-2"/>
          <w:kern w:val="2"/>
          <w:sz w:val="21"/>
          <w:u w:val="double"/>
        </w:rPr>
        <w:t>$</w:t>
        <w:tab/>
        <w:t>6,342</w:t>
      </w:r>
      <w:r>
        <w:rPr>
          <w:spacing w:val="-2"/>
          <w:kern w:val="2"/>
          <w:sz w:val="21"/>
        </w:rPr>
        <w:tab/>
      </w:r>
      <w:r>
        <w:rPr>
          <w:spacing w:val="-2"/>
          <w:kern w:val="2"/>
          <w:sz w:val="21"/>
          <w:u w:val="double"/>
        </w:rPr>
        <w:t>$</w:t>
        <w:tab/>
        <w:t>2,221</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spacing w:before="120" w:after="0"/>
        <w:jc w:val="both"/>
        <w:rPr>
          <w:spacing w:val="-2"/>
          <w:kern w:val="2"/>
          <w:sz w:val="21"/>
          <w:u w:val="double"/>
        </w:rPr>
      </w:pPr>
      <w:r>
        <w:rPr>
          <w:spacing w:val="-2"/>
          <w:kern w:val="2"/>
          <w:sz w:val="21"/>
          <w:u w:val="double"/>
        </w:rPr>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8730" w:leader="none"/>
        </w:tabs>
        <w:suppressAutoHyphens w:val="true"/>
        <w:jc w:val="both"/>
        <w:rPr>
          <w:spacing w:val="-2"/>
          <w:kern w:val="2"/>
          <w:sz w:val="21"/>
        </w:rPr>
      </w:pPr>
      <w:r>
        <w:rPr>
          <w:spacing w:val="-2"/>
          <w:kern w:val="2"/>
          <w:sz w:val="21"/>
        </w:rPr>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8730" w:leader="none"/>
        </w:tabs>
        <w:suppressAutoHyphens w:val="true"/>
        <w:jc w:val="both"/>
        <w:rPr>
          <w:spacing w:val="-2"/>
          <w:kern w:val="2"/>
          <w:sz w:val="21"/>
        </w:rPr>
      </w:pPr>
      <w:r>
        <w:rPr>
          <w:spacing w:val="-2"/>
          <w:kern w:val="2"/>
          <w:sz w:val="21"/>
        </w:rPr>
        <w:t>Basic Net Income Per Unit</w:t>
      </w:r>
    </w:p>
    <w:p>
      <w:pPr>
        <w:pStyle w:val="Normal"/>
        <w:tabs>
          <w:tab w:val="clear" w:pos="720"/>
          <w:tab w:val="left" w:pos="180" w:leader="none"/>
          <w:tab w:val="left" w:pos="360" w:leader="none"/>
          <w:tab w:val="left" w:pos="6300" w:leader="dot"/>
          <w:tab w:val="left" w:pos="6480" w:leader="none"/>
          <w:tab w:val="decimal" w:pos="7290" w:leader="none"/>
          <w:tab w:val="left" w:pos="7920" w:leader="none"/>
          <w:tab w:val="decimal" w:pos="8730" w:leader="none"/>
          <w:tab w:val="decimal" w:pos="9000" w:leader="none"/>
        </w:tabs>
        <w:suppressAutoHyphens w:val="true"/>
        <w:jc w:val="both"/>
        <w:rPr/>
      </w:pPr>
      <w:r>
        <w:rPr>
          <w:spacing w:val="-2"/>
          <w:kern w:val="2"/>
          <w:sz w:val="21"/>
        </w:rPr>
        <w:tab/>
        <w:t>Common</w:t>
        <w:tab/>
        <w:tab/>
      </w:r>
      <w:r>
        <w:rPr>
          <w:spacing w:val="-2"/>
          <w:kern w:val="2"/>
          <w:sz w:val="21"/>
          <w:u w:val="double"/>
        </w:rPr>
        <w:t>$</w:t>
        <w:tab/>
        <w:t>0.23</w:t>
      </w:r>
      <w:r>
        <w:rPr>
          <w:spacing w:val="-2"/>
          <w:kern w:val="2"/>
          <w:sz w:val="21"/>
        </w:rPr>
        <w:tab/>
      </w:r>
      <w:r>
        <w:rPr>
          <w:spacing w:val="-2"/>
          <w:kern w:val="2"/>
          <w:sz w:val="21"/>
          <w:u w:val="double"/>
        </w:rPr>
        <w:t>$</w:t>
        <w:tab/>
        <w:t>0.08</w:t>
      </w:r>
    </w:p>
    <w:p>
      <w:pPr>
        <w:pStyle w:val="Normal"/>
        <w:tabs>
          <w:tab w:val="clear" w:pos="720"/>
          <w:tab w:val="left" w:pos="180" w:leader="none"/>
          <w:tab w:val="left" w:pos="360" w:leader="none"/>
          <w:tab w:val="left" w:pos="6300" w:leader="dot"/>
          <w:tab w:val="left" w:pos="6480" w:leader="none"/>
          <w:tab w:val="decimal" w:pos="7290" w:leader="none"/>
          <w:tab w:val="left" w:pos="7920" w:leader="none"/>
          <w:tab w:val="decimal" w:pos="8730" w:leader="none"/>
          <w:tab w:val="decimal" w:pos="9000" w:leader="none"/>
        </w:tabs>
        <w:suppressAutoHyphens w:val="true"/>
        <w:spacing w:before="60" w:after="0"/>
        <w:jc w:val="both"/>
        <w:rPr/>
      </w:pPr>
      <w:r>
        <w:rPr>
          <w:spacing w:val="-2"/>
          <w:kern w:val="2"/>
          <w:sz w:val="21"/>
        </w:rPr>
        <w:tab/>
        <w:t>Subordinated</w:t>
        <w:tab/>
        <w:tab/>
      </w:r>
      <w:r>
        <w:rPr>
          <w:spacing w:val="-2"/>
          <w:kern w:val="2"/>
          <w:sz w:val="21"/>
          <w:u w:val="double"/>
        </w:rPr>
        <w:t>$</w:t>
        <w:tab/>
        <w:t>0.23</w:t>
      </w:r>
      <w:r>
        <w:rPr>
          <w:spacing w:val="-2"/>
          <w:kern w:val="2"/>
          <w:sz w:val="21"/>
        </w:rPr>
        <w:tab/>
      </w:r>
      <w:r>
        <w:rPr>
          <w:spacing w:val="-2"/>
          <w:kern w:val="2"/>
          <w:sz w:val="21"/>
          <w:u w:val="double"/>
        </w:rPr>
        <w:t>$</w:t>
        <w:tab/>
        <w:t>0.08</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8730" w:leader="none"/>
          <w:tab w:val="decimal" w:pos="9000" w:leader="none"/>
        </w:tabs>
        <w:suppressAutoHyphens w:val="true"/>
        <w:jc w:val="both"/>
        <w:rPr>
          <w:spacing w:val="-2"/>
          <w:kern w:val="2"/>
          <w:sz w:val="21"/>
          <w:u w:val="double"/>
        </w:rPr>
      </w:pPr>
      <w:r>
        <w:rPr>
          <w:spacing w:val="-2"/>
          <w:kern w:val="2"/>
          <w:sz w:val="21"/>
          <w:u w:val="double"/>
        </w:rPr>
      </w:r>
    </w:p>
    <w:p>
      <w:pPr>
        <w:pStyle w:val="Normal"/>
        <w:tabs>
          <w:tab w:val="clear" w:pos="720"/>
          <w:tab w:val="left" w:pos="180" w:leader="none"/>
          <w:tab w:val="left" w:pos="360" w:leader="none"/>
          <w:tab w:val="left" w:pos="6300" w:leader="dot"/>
          <w:tab w:val="left" w:pos="6480" w:leader="none"/>
          <w:tab w:val="decimal" w:pos="7290" w:leader="none"/>
          <w:tab w:val="left" w:pos="7920" w:leader="none"/>
          <w:tab w:val="decimal" w:pos="8730" w:leader="none"/>
          <w:tab w:val="decimal" w:pos="9000" w:leader="none"/>
        </w:tabs>
        <w:suppressAutoHyphens w:val="true"/>
        <w:jc w:val="both"/>
        <w:rPr/>
      </w:pPr>
      <w:r>
        <w:rPr>
          <w:spacing w:val="-2"/>
          <w:kern w:val="2"/>
          <w:sz w:val="21"/>
        </w:rPr>
        <w:t>Diluted Net Income Per Unit</w:t>
        <w:tab/>
        <w:tab/>
      </w:r>
      <w:r>
        <w:rPr>
          <w:spacing w:val="-2"/>
          <w:kern w:val="2"/>
          <w:sz w:val="21"/>
          <w:u w:val="double"/>
        </w:rPr>
        <w:t>$</w:t>
        <w:tab/>
        <w:t>0.23</w:t>
      </w:r>
      <w:r>
        <w:rPr>
          <w:spacing w:val="-2"/>
          <w:kern w:val="2"/>
          <w:sz w:val="21"/>
        </w:rPr>
        <w:tab/>
      </w:r>
      <w:r>
        <w:rPr>
          <w:spacing w:val="-2"/>
          <w:kern w:val="2"/>
          <w:sz w:val="21"/>
          <w:u w:val="double"/>
        </w:rPr>
        <w:t>$</w:t>
        <w:tab/>
        <w:t>0.08</w:t>
      </w:r>
    </w:p>
    <w:p>
      <w:pPr>
        <w:pStyle w:val="Normal"/>
        <w:tabs>
          <w:tab w:val="clear" w:pos="720"/>
          <w:tab w:val="left" w:pos="180" w:leader="none"/>
          <w:tab w:val="left" w:pos="360" w:leader="none"/>
          <w:tab w:val="left" w:pos="6300" w:leader="dot"/>
          <w:tab w:val="left" w:pos="6480" w:leader="none"/>
          <w:tab w:val="decimal" w:pos="7290" w:leader="none"/>
          <w:tab w:val="decimal" w:pos="7560" w:leader="none"/>
          <w:tab w:val="left" w:pos="7920" w:leader="none"/>
          <w:tab w:val="decimal" w:pos="8730" w:leader="none"/>
          <w:tab w:val="decimal" w:pos="9000" w:leader="none"/>
        </w:tabs>
        <w:suppressAutoHyphens w:val="true"/>
        <w:jc w:val="both"/>
        <w:rPr>
          <w:spacing w:val="-2"/>
          <w:kern w:val="2"/>
          <w:sz w:val="21"/>
          <w:u w:val="double"/>
        </w:rPr>
      </w:pPr>
      <w:r>
        <w:rPr>
          <w:spacing w:val="-2"/>
          <w:kern w:val="2"/>
          <w:sz w:val="21"/>
          <w:u w:val="double"/>
        </w:rPr>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spacing w:before="120" w:after="0"/>
        <w:jc w:val="both"/>
        <w:rPr/>
      </w:pPr>
      <w:r>
        <w:rPr>
          <w:spacing w:val="-2"/>
          <w:kern w:val="2"/>
          <w:sz w:val="21"/>
        </w:rPr>
        <w:t>Number of Units Outstanding for Diluted Computation</w:t>
        <w:tab/>
        <w:tab/>
      </w:r>
      <w:r>
        <w:rPr>
          <w:spacing w:val="-2"/>
          <w:kern w:val="2"/>
          <w:sz w:val="21"/>
          <w:u w:val="double"/>
        </w:rPr>
        <w:tab/>
        <w:t>27,476</w:t>
      </w:r>
      <w:r>
        <w:rPr>
          <w:spacing w:val="-2"/>
          <w:kern w:val="2"/>
          <w:sz w:val="21"/>
        </w:rPr>
        <w:tab/>
      </w:r>
      <w:r>
        <w:rPr>
          <w:spacing w:val="-2"/>
          <w:kern w:val="2"/>
          <w:sz w:val="21"/>
          <w:u w:val="double"/>
        </w:rPr>
        <w:tab/>
        <w:t>27,476</w:t>
      </w:r>
    </w:p>
    <w:p>
      <w:pPr>
        <w:pStyle w:val="Normal"/>
        <w:tabs>
          <w:tab w:val="clear" w:pos="720"/>
          <w:tab w:val="left" w:pos="180" w:leader="none"/>
          <w:tab w:val="left" w:pos="4140" w:leader="dot"/>
          <w:tab w:val="left" w:pos="4320" w:leader="none"/>
          <w:tab w:val="decimal" w:pos="5400" w:leader="none"/>
          <w:tab w:val="left" w:pos="5580" w:leader="none"/>
          <w:tab w:val="decimal" w:pos="6660" w:leader="none"/>
          <w:tab w:val="left" w:pos="6840" w:leader="none"/>
          <w:tab w:val="decimal" w:pos="7920" w:leader="none"/>
          <w:tab w:val="left" w:pos="8100" w:leader="none"/>
          <w:tab w:val="decimal" w:pos="9180" w:leader="none"/>
          <w:tab w:val="left" w:pos="9270" w:leader="none"/>
        </w:tabs>
        <w:suppressAutoHyphens w:val="true"/>
        <w:jc w:val="both"/>
        <w:rPr>
          <w:spacing w:val="-2"/>
          <w:kern w:val="2"/>
          <w:sz w:val="22"/>
          <w:u w:val="double"/>
        </w:rPr>
      </w:pPr>
      <w:r>
        <w:rPr>
          <w:spacing w:val="-2"/>
          <w:kern w:val="2"/>
          <w:sz w:val="22"/>
          <w:u w:val="double"/>
        </w:rPr>
      </w:r>
    </w:p>
    <w:p>
      <w:pPr>
        <w:pStyle w:val="Normal"/>
        <w:tabs>
          <w:tab w:val="clear" w:pos="720"/>
          <w:tab w:val="center" w:pos="4680" w:leader="none"/>
        </w:tabs>
        <w:suppressAutoHyphens w:val="true"/>
        <w:jc w:val="both"/>
        <w:rPr>
          <w:spacing w:val="-2"/>
          <w:kern w:val="2"/>
          <w:sz w:val="21"/>
        </w:rPr>
      </w:pPr>
      <w:r>
        <w:rPr>
          <w:spacing w:val="-2"/>
          <w:kern w:val="2"/>
          <w:sz w:val="21"/>
        </w:rPr>
        <w:t xml:space="preserve">Pro forma amount, assuming the new inventory valuation method is </w:t>
      </w:r>
    </w:p>
    <w:p>
      <w:pPr>
        <w:pStyle w:val="Normal"/>
        <w:tabs>
          <w:tab w:val="clear" w:pos="720"/>
          <w:tab w:val="center" w:pos="4680" w:leader="none"/>
        </w:tabs>
        <w:suppressAutoHyphens w:val="true"/>
        <w:jc w:val="both"/>
        <w:rPr/>
      </w:pPr>
      <w:r>
        <w:rPr>
          <w:spacing w:val="-2"/>
          <w:kern w:val="2"/>
          <w:sz w:val="21"/>
        </w:rPr>
        <w:t xml:space="preserve">applied retroactively: (Note </w:t>
      </w:r>
      <w:r>
        <w:rPr>
          <w:color w:val="FF0000"/>
          <w:spacing w:val="-2"/>
          <w:kern w:val="2"/>
          <w:sz w:val="21"/>
        </w:rPr>
        <w:t>3</w:t>
      </w:r>
      <w:r>
        <w:rPr>
          <w:spacing w:val="-2"/>
          <w:kern w:val="2"/>
          <w:sz w:val="21"/>
        </w:rPr>
        <w:t>)</w:t>
      </w:r>
    </w:p>
    <w:p>
      <w:pPr>
        <w:pStyle w:val="Normal"/>
        <w:tabs>
          <w:tab w:val="clear" w:pos="720"/>
          <w:tab w:val="left" w:pos="180" w:leader="none"/>
          <w:tab w:val="left" w:pos="360" w:leader="none"/>
          <w:tab w:val="left" w:pos="6300" w:leader="dot"/>
          <w:tab w:val="left" w:pos="6480" w:leader="none"/>
          <w:tab w:val="left" w:pos="7110" w:leader="none"/>
          <w:tab w:val="right" w:pos="7560" w:leader="none"/>
          <w:tab w:val="left" w:pos="7920" w:leader="none"/>
          <w:tab w:val="right" w:pos="8910" w:leader="none"/>
          <w:tab w:val="right" w:pos="9000" w:leader="none"/>
        </w:tabs>
        <w:suppressAutoHyphens w:val="true"/>
        <w:spacing w:before="120" w:after="0"/>
        <w:jc w:val="both"/>
        <w:rPr>
          <w:spacing w:val="-2"/>
          <w:kern w:val="2"/>
          <w:sz w:val="21"/>
        </w:rPr>
      </w:pPr>
      <w:r>
        <w:rPr>
          <w:spacing w:val="-2"/>
          <w:kern w:val="2"/>
          <w:sz w:val="21"/>
        </w:rPr>
        <w:tab/>
        <w:t>Net Income</w:t>
        <w:tab/>
        <w:tab/>
        <w:tab/>
        <w:tab/>
        <w:tab/>
      </w:r>
      <w:r>
        <w:rPr>
          <w:spacing w:val="-2"/>
          <w:kern w:val="2"/>
          <w:sz w:val="21"/>
          <w:u w:val="double"/>
        </w:rPr>
        <w:t>$</w:t>
        <w:tab/>
        <w:t>2,33</w:t>
        <w:tab/>
        <w:t>1</w:t>
      </w:r>
    </w:p>
    <w:p>
      <w:pPr>
        <w:pStyle w:val="Normal"/>
        <w:tabs>
          <w:tab w:val="clear" w:pos="720"/>
          <w:tab w:val="left" w:pos="180" w:leader="none"/>
          <w:tab w:val="left" w:pos="360" w:leader="none"/>
          <w:tab w:val="left" w:pos="6300" w:leader="dot"/>
          <w:tab w:val="left" w:pos="6480" w:leader="none"/>
          <w:tab w:val="left" w:pos="7110" w:leader="none"/>
          <w:tab w:val="right" w:pos="7560" w:leader="none"/>
          <w:tab w:val="left" w:pos="7920" w:leader="none"/>
          <w:tab w:val="right" w:pos="8910" w:leader="none"/>
          <w:tab w:val="right" w:pos="9000" w:leader="none"/>
        </w:tabs>
        <w:suppressAutoHyphens w:val="true"/>
        <w:spacing w:before="60" w:after="0"/>
        <w:jc w:val="both"/>
        <w:rPr>
          <w:spacing w:val="-2"/>
          <w:kern w:val="2"/>
          <w:sz w:val="21"/>
          <w:u w:val="double"/>
        </w:rPr>
      </w:pPr>
      <w:r>
        <w:rPr>
          <w:spacing w:val="-2"/>
          <w:kern w:val="2"/>
          <w:sz w:val="21"/>
        </w:rPr>
        <w:tab/>
        <w:t>Diluted Net Income Per Unit</w:t>
        <w:tab/>
        <w:tab/>
        <w:tab/>
        <w:tab/>
        <w:tab/>
      </w:r>
      <w:r>
        <w:rPr>
          <w:spacing w:val="-2"/>
          <w:kern w:val="2"/>
          <w:sz w:val="21"/>
          <w:u w:val="double"/>
        </w:rPr>
        <w:t>$</w:t>
        <w:tab/>
        <w:t>0.0</w:t>
        <w:tab/>
        <w:t>8</w:t>
      </w:r>
    </w:p>
    <w:p>
      <w:pPr>
        <w:pStyle w:val="Normal"/>
        <w:tabs>
          <w:tab w:val="clear" w:pos="720"/>
          <w:tab w:val="left" w:pos="180" w:leader="none"/>
          <w:tab w:val="center" w:pos="4680" w:leader="none"/>
          <w:tab w:val="left" w:pos="6480" w:leader="none"/>
          <w:tab w:val="decimal" w:pos="7560" w:leader="none"/>
          <w:tab w:val="left" w:pos="7920" w:leader="none"/>
          <w:tab w:val="decimal" w:pos="9000" w:leader="none"/>
        </w:tabs>
        <w:suppressAutoHyphens w:val="true"/>
        <w:jc w:val="both"/>
        <w:rPr>
          <w:spacing w:val="-2"/>
          <w:kern w:val="2"/>
          <w:sz w:val="21"/>
        </w:rPr>
      </w:pPr>
      <w:r>
        <w:rPr>
          <w:spacing w:val="-2"/>
          <w:kern w:val="2"/>
          <w:sz w:val="21"/>
        </w:rPr>
        <w:tab/>
        <w:tab/>
        <w:tab/>
        <w:tab/>
        <w:tab/>
        <w:tab/>
        <w:tab/>
      </w:r>
    </w:p>
    <w:p>
      <w:pPr>
        <w:pStyle w:val="Normal"/>
        <w:tabs>
          <w:tab w:val="left" w:pos="360" w:leader="none"/>
          <w:tab w:val="left" w:pos="720" w:leader="none"/>
          <w:tab w:val="left" w:pos="6480" w:leader="none"/>
          <w:tab w:val="center" w:pos="7740" w:leader="none"/>
          <w:tab w:val="right" w:pos="9000" w:leader="none"/>
        </w:tabs>
        <w:suppressAutoHyphens w:val="true"/>
        <w:spacing w:lineRule="auto" w:line="216"/>
        <w:jc w:val="both"/>
        <w:rPr/>
      </w:pPr>
      <w:r>
        <w:rPr>
          <w:b/>
          <w:spacing w:val="-2"/>
          <w:kern w:val="2"/>
          <w:sz w:val="17"/>
        </w:rPr>
        <w:tab/>
      </w:r>
      <w:r>
        <w:rPr>
          <w:spacing w:val="-2"/>
          <w:kern w:val="2"/>
          <w:sz w:val="21"/>
        </w:rPr>
        <w:tab/>
        <w:t>The accompanying notes are an integral part of these condensed consolidated financial statements.</w:t>
      </w:r>
    </w:p>
    <w:p>
      <w:pPr>
        <w:pStyle w:val="Normal"/>
        <w:tabs>
          <w:tab w:val="left" w:pos="360" w:leader="none"/>
          <w:tab w:val="left" w:pos="720" w:leader="none"/>
          <w:tab w:val="left" w:pos="6480" w:leader="none"/>
          <w:tab w:val="center" w:pos="7740" w:leader="none"/>
          <w:tab w:val="right" w:pos="9000" w:leader="none"/>
        </w:tabs>
        <w:suppressAutoHyphens w:val="true"/>
        <w:spacing w:lineRule="auto" w:line="216"/>
        <w:jc w:val="both"/>
        <w:rPr>
          <w:b/>
          <w:spacing w:val="-2"/>
          <w:kern w:val="2"/>
          <w:sz w:val="17"/>
        </w:rPr>
      </w:pPr>
      <w:r>
        <w:rPr>
          <w:b/>
          <w:spacing w:val="-2"/>
          <w:kern w:val="2"/>
          <w:sz w:val="17"/>
        </w:rPr>
        <w:tab/>
        <w:tab/>
        <w:tab/>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jc w:val="both"/>
        <w:rPr>
          <w:b/>
          <w:spacing w:val="-2"/>
          <w:kern w:val="2"/>
          <w:sz w:val="21"/>
        </w:rPr>
      </w:pPr>
      <w:r>
        <w:rPr>
          <w:b/>
          <w:spacing w:val="-2"/>
          <w:kern w:val="2"/>
          <w:sz w:val="21"/>
        </w:rPr>
      </w:r>
    </w:p>
    <w:p>
      <w:pPr>
        <w:pStyle w:val="Normal"/>
        <w:tabs>
          <w:tab w:val="clear" w:pos="720"/>
          <w:tab w:val="center" w:pos="4680" w:leader="none"/>
        </w:tabs>
        <w:suppressAutoHyphens w:val="true"/>
        <w:jc w:val="both"/>
        <w:rPr>
          <w:b/>
          <w:spacing w:val="-2"/>
          <w:kern w:val="2"/>
          <w:sz w:val="21"/>
        </w:rPr>
      </w:pPr>
      <w:r>
        <w:rPr>
          <w:b/>
          <w:spacing w:val="-2"/>
          <w:kern w:val="2"/>
          <w:sz w:val="21"/>
        </w:rPr>
        <w:tab/>
        <w:t>EOTT ENERGY PARTNERS, L.P.</w:t>
      </w:r>
    </w:p>
    <w:p>
      <w:pPr>
        <w:pStyle w:val="Normal"/>
        <w:tabs>
          <w:tab w:val="clear" w:pos="720"/>
          <w:tab w:val="center" w:pos="4680" w:leader="none"/>
        </w:tabs>
        <w:suppressAutoHyphens w:val="true"/>
        <w:jc w:val="both"/>
        <w:rPr>
          <w:b/>
          <w:spacing w:val="-2"/>
          <w:kern w:val="2"/>
          <w:sz w:val="21"/>
        </w:rPr>
      </w:pPr>
      <w:r>
        <w:rPr>
          <w:b/>
          <w:spacing w:val="-2"/>
          <w:kern w:val="2"/>
          <w:sz w:val="21"/>
        </w:rPr>
        <w:tab/>
        <w:t>CONDENSED CONSOLIDATED BALANCE SHEETS</w:t>
      </w:r>
    </w:p>
    <w:p>
      <w:pPr>
        <w:pStyle w:val="Normal"/>
        <w:tabs>
          <w:tab w:val="clear" w:pos="720"/>
          <w:tab w:val="center" w:pos="4680" w:leader="none"/>
        </w:tabs>
        <w:suppressAutoHyphens w:val="true"/>
        <w:jc w:val="both"/>
        <w:rPr>
          <w:b/>
          <w:i/>
          <w:i/>
          <w:spacing w:val="-2"/>
          <w:kern w:val="2"/>
          <w:sz w:val="21"/>
        </w:rPr>
      </w:pPr>
      <w:r>
        <w:rPr>
          <w:b/>
          <w:i/>
          <w:spacing w:val="-2"/>
          <w:kern w:val="2"/>
          <w:sz w:val="21"/>
        </w:rPr>
        <w:tab/>
        <w:t>(In Thousands)</w:t>
      </w:r>
    </w:p>
    <w:p>
      <w:pPr>
        <w:pStyle w:val="Normal"/>
        <w:tabs>
          <w:tab w:val="clear" w:pos="720"/>
          <w:tab w:val="center" w:pos="4680" w:leader="none"/>
        </w:tabs>
        <w:suppressAutoHyphens w:val="true"/>
        <w:jc w:val="both"/>
        <w:rPr>
          <w:b/>
          <w:i/>
          <w:i/>
          <w:spacing w:val="-2"/>
          <w:kern w:val="2"/>
          <w:sz w:val="21"/>
        </w:rPr>
      </w:pPr>
      <w:r>
        <w:rPr>
          <w:b/>
          <w:i/>
          <w:spacing w:val="-2"/>
          <w:kern w:val="2"/>
          <w:sz w:val="21"/>
        </w:rPr>
        <w:tab/>
        <w:t>(Unaudited)</w:t>
      </w:r>
    </w:p>
    <w:p>
      <w:pPr>
        <w:pStyle w:val="Normal"/>
        <w:tabs>
          <w:tab w:val="clear" w:pos="720"/>
          <w:tab w:val="left" w:pos="180" w:leader="none"/>
          <w:tab w:val="left" w:pos="6739" w:leader="none"/>
          <w:tab w:val="decimal" w:pos="7862" w:leader="none"/>
          <w:tab w:val="left" w:pos="8100" w:leader="none"/>
          <w:tab w:val="decimal" w:pos="9180" w:leader="none"/>
        </w:tabs>
        <w:suppressAutoHyphens w:val="true"/>
        <w:jc w:val="both"/>
        <w:rPr>
          <w:b/>
          <w:i/>
          <w:i/>
          <w:spacing w:val="-2"/>
          <w:kern w:val="2"/>
          <w:sz w:val="21"/>
        </w:rPr>
      </w:pPr>
      <w:r>
        <w:rPr>
          <w:b/>
          <w:i/>
          <w:spacing w:val="-2"/>
          <w:kern w:val="2"/>
          <w:sz w:val="21"/>
        </w:rPr>
      </w:r>
    </w:p>
    <w:p>
      <w:pPr>
        <w:pStyle w:val="Normal"/>
        <w:tabs>
          <w:tab w:val="clear" w:pos="720"/>
          <w:tab w:val="left" w:pos="360" w:leader="none"/>
          <w:tab w:val="left" w:pos="540" w:leader="none"/>
          <w:tab w:val="left" w:pos="7020" w:leader="none"/>
          <w:tab w:val="center" w:pos="7560" w:leader="none"/>
          <w:tab w:val="decimal" w:pos="8100" w:leader="none"/>
          <w:tab w:val="left" w:pos="8280" w:leader="none"/>
          <w:tab w:val="center" w:pos="8820" w:leader="none"/>
          <w:tab w:val="decimal" w:pos="9360" w:leader="none"/>
        </w:tabs>
        <w:suppressAutoHyphens w:val="true"/>
        <w:spacing w:lineRule="auto" w:line="216"/>
        <w:jc w:val="both"/>
        <w:rPr>
          <w:spacing w:val="-2"/>
          <w:kern w:val="2"/>
          <w:sz w:val="17"/>
        </w:rPr>
      </w:pPr>
      <w:r>
        <w:rPr>
          <w:b/>
          <w:spacing w:val="-2"/>
          <w:kern w:val="2"/>
          <w:sz w:val="17"/>
        </w:rPr>
        <w:tab/>
        <w:tab/>
        <w:tab/>
        <w:tab/>
        <w:t>March 31,</w:t>
        <w:tab/>
        <w:tab/>
        <w:tab/>
        <w:t>December 31,</w:t>
      </w:r>
    </w:p>
    <w:p>
      <w:pPr>
        <w:pStyle w:val="Normal"/>
        <w:tabs>
          <w:tab w:val="clear" w:pos="720"/>
          <w:tab w:val="left" w:pos="360" w:leader="none"/>
          <w:tab w:val="left" w:pos="540" w:leader="none"/>
          <w:tab w:val="left" w:pos="7020" w:leader="none"/>
          <w:tab w:val="center" w:pos="7560" w:leader="none"/>
          <w:tab w:val="decimal" w:pos="8100" w:leader="none"/>
          <w:tab w:val="left" w:pos="8280" w:leader="none"/>
          <w:tab w:val="center" w:pos="8820" w:leader="none"/>
          <w:tab w:val="decimal" w:pos="9360" w:leader="none"/>
        </w:tabs>
        <w:suppressAutoHyphens w:val="true"/>
        <w:spacing w:lineRule="auto" w:line="216"/>
        <w:jc w:val="both"/>
        <w:rPr>
          <w:spacing w:val="-2"/>
          <w:kern w:val="2"/>
          <w:sz w:val="17"/>
        </w:rPr>
      </w:pPr>
      <w:r>
        <w:rPr>
          <w:b/>
          <w:spacing w:val="-2"/>
          <w:kern w:val="2"/>
          <w:sz w:val="17"/>
        </w:rPr>
        <w:tab/>
        <w:tab/>
        <w:tab/>
      </w:r>
      <w:r>
        <w:rPr>
          <w:b/>
          <w:spacing w:val="-2"/>
          <w:kern w:val="2"/>
          <w:sz w:val="17"/>
          <w:u w:val="single"/>
        </w:rPr>
        <w:tab/>
        <w:t>2001</w:t>
        <w:tab/>
      </w:r>
      <w:r>
        <w:rPr>
          <w:b/>
          <w:spacing w:val="-2"/>
          <w:kern w:val="2"/>
          <w:sz w:val="17"/>
        </w:rPr>
        <w:tab/>
      </w:r>
      <w:r>
        <w:rPr>
          <w:b/>
          <w:spacing w:val="-2"/>
          <w:kern w:val="2"/>
          <w:sz w:val="17"/>
          <w:u w:val="single"/>
        </w:rPr>
        <w:tab/>
        <w:t>2000</w:t>
        <w:tab/>
      </w:r>
    </w:p>
    <w:p>
      <w:pPr>
        <w:pStyle w:val="Normal"/>
        <w:tabs>
          <w:tab w:val="clear" w:pos="720"/>
          <w:tab w:val="left" w:pos="360" w:leader="none"/>
          <w:tab w:val="left" w:pos="540" w:leader="none"/>
          <w:tab w:val="center" w:pos="2938" w:leader="none"/>
        </w:tabs>
        <w:suppressAutoHyphens w:val="true"/>
        <w:jc w:val="both"/>
        <w:rPr>
          <w:spacing w:val="-2"/>
          <w:kern w:val="2"/>
          <w:sz w:val="21"/>
        </w:rPr>
      </w:pPr>
      <w:r>
        <w:rPr>
          <w:b/>
          <w:spacing w:val="-2"/>
          <w:kern w:val="2"/>
          <w:sz w:val="21"/>
        </w:rPr>
        <w:tab/>
        <w:tab/>
        <w:tab/>
        <w:t>Assets</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Current Assets</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Cash and cash equivalents</w:t>
        <w:tab/>
        <w:tab/>
        <w:t>$</w:t>
        <w:tab/>
        <w:t>3,544</w:t>
        <w:tab/>
        <w:t>$</w:t>
        <w:tab/>
        <w:t>54,230</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 xml:space="preserve">Trade and other receivables, net of allowance for doubtful </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b/>
        <w:t>accounts of $1,815 and $1,827 respectively</w:t>
        <w:tab/>
        <w:tab/>
        <w:tab/>
        <w:t>757,320</w:t>
        <w:tab/>
        <w:tab/>
        <w:t>917,748</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jc w:val="both"/>
        <w:rPr/>
      </w:pPr>
      <w:r>
        <w:rPr>
          <w:spacing w:val="-2"/>
          <w:kern w:val="2"/>
          <w:sz w:val="21"/>
        </w:rPr>
        <w:tab/>
        <w:t xml:space="preserve">Inventories  (Note </w:t>
      </w:r>
      <w:r>
        <w:rPr>
          <w:color w:val="FF0000"/>
          <w:spacing w:val="-2"/>
          <w:kern w:val="2"/>
          <w:sz w:val="21"/>
        </w:rPr>
        <w:t>3</w:t>
      </w:r>
      <w:r>
        <w:rPr>
          <w:spacing w:val="-2"/>
          <w:kern w:val="2"/>
          <w:sz w:val="21"/>
        </w:rPr>
        <w:t>)</w:t>
        <w:tab/>
        <w:tab/>
        <w:tab/>
        <w:t>116,729</w:t>
        <w:tab/>
        <w:tab/>
        <w:t>84,653</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Other</w:t>
        <w:tab/>
        <w:tab/>
        <w:tab/>
      </w:r>
      <w:r>
        <w:rPr>
          <w:spacing w:val="-2"/>
          <w:kern w:val="2"/>
          <w:sz w:val="21"/>
          <w:u w:val="single"/>
        </w:rPr>
        <w:tab/>
        <w:t>38,169</w:t>
      </w:r>
      <w:r>
        <w:rPr>
          <w:spacing w:val="-2"/>
          <w:kern w:val="2"/>
          <w:sz w:val="21"/>
        </w:rPr>
        <w:tab/>
      </w:r>
      <w:r>
        <w:rPr>
          <w:spacing w:val="-2"/>
          <w:kern w:val="2"/>
          <w:sz w:val="21"/>
          <w:u w:val="single"/>
        </w:rPr>
        <w:tab/>
        <w:t>26,208</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Total current assets</w:t>
        <w:tab/>
        <w:tab/>
      </w:r>
      <w:r>
        <w:rPr>
          <w:spacing w:val="-2"/>
          <w:kern w:val="2"/>
          <w:sz w:val="21"/>
          <w:u w:val="single"/>
        </w:rPr>
        <w:tab/>
        <w:t>915,762</w:t>
      </w:r>
      <w:r>
        <w:rPr>
          <w:spacing w:val="-2"/>
          <w:kern w:val="2"/>
          <w:sz w:val="21"/>
        </w:rPr>
        <w:tab/>
      </w:r>
      <w:r>
        <w:rPr>
          <w:spacing w:val="-2"/>
          <w:kern w:val="2"/>
          <w:sz w:val="21"/>
          <w:u w:val="single"/>
        </w:rPr>
        <w:tab/>
        <w:t>1,082,839</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spacing w:lineRule="exact" w:line="180"/>
        <w:jc w:val="both"/>
        <w:rPr>
          <w:spacing w:val="-2"/>
          <w:kern w:val="2"/>
          <w:sz w:val="21"/>
        </w:rPr>
      </w:pPr>
      <w:r>
        <w:rPr>
          <w:spacing w:val="-2"/>
          <w:kern w:val="2"/>
          <w:sz w:val="21"/>
        </w:rPr>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Property, Plant &amp; Equipment, at cost</w:t>
        <w:tab/>
        <w:tab/>
        <w:tab/>
        <w:t>563,513</w:t>
        <w:tab/>
        <w:tab/>
        <w:t>562,393</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Less: Accumulated depreciation</w:t>
        <w:tab/>
        <w:tab/>
      </w:r>
      <w:r>
        <w:rPr>
          <w:spacing w:val="-2"/>
          <w:kern w:val="2"/>
          <w:sz w:val="21"/>
          <w:u w:val="single"/>
        </w:rPr>
        <w:tab/>
        <w:t>175,815</w:t>
      </w:r>
      <w:r>
        <w:rPr>
          <w:spacing w:val="-2"/>
          <w:kern w:val="2"/>
          <w:sz w:val="21"/>
        </w:rPr>
        <w:tab/>
      </w:r>
      <w:r>
        <w:rPr>
          <w:spacing w:val="-2"/>
          <w:kern w:val="2"/>
          <w:sz w:val="21"/>
          <w:u w:val="single"/>
        </w:rPr>
        <w:tab/>
        <w:t>168,460</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jc w:val="both"/>
        <w:rPr/>
      </w:pPr>
      <w:r>
        <w:rPr>
          <w:spacing w:val="-2"/>
          <w:kern w:val="2"/>
          <w:sz w:val="21"/>
        </w:rPr>
        <w:tab/>
        <w:tab/>
        <w:t>Net property, plant &amp; equipment</w:t>
        <w:tab/>
        <w:tab/>
      </w:r>
      <w:r>
        <w:rPr>
          <w:spacing w:val="-2"/>
          <w:kern w:val="2"/>
          <w:sz w:val="21"/>
          <w:u w:val="single"/>
        </w:rPr>
        <w:tab/>
        <w:t>387,698</w:t>
      </w:r>
      <w:r>
        <w:rPr>
          <w:spacing w:val="-2"/>
          <w:kern w:val="2"/>
          <w:sz w:val="21"/>
        </w:rPr>
        <w:tab/>
      </w:r>
      <w:r>
        <w:rPr>
          <w:spacing w:val="-2"/>
          <w:kern w:val="2"/>
          <w:sz w:val="21"/>
          <w:u w:val="single"/>
        </w:rPr>
        <w:tab/>
        <w:t>393,933</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spacing w:lineRule="exact" w:line="160"/>
        <w:jc w:val="both"/>
        <w:rPr>
          <w:spacing w:val="-2"/>
          <w:kern w:val="2"/>
          <w:sz w:val="21"/>
          <w:u w:val="single"/>
        </w:rPr>
      </w:pPr>
      <w:r>
        <w:rPr>
          <w:spacing w:val="-2"/>
          <w:kern w:val="2"/>
          <w:sz w:val="21"/>
          <w:u w:val="single"/>
        </w:rPr>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Other Assets, net of amortization</w:t>
        <w:tab/>
        <w:tab/>
      </w:r>
      <w:r>
        <w:rPr>
          <w:spacing w:val="-2"/>
          <w:kern w:val="2"/>
          <w:sz w:val="21"/>
          <w:u w:val="single"/>
        </w:rPr>
        <w:tab/>
        <w:t>15,805</w:t>
      </w:r>
      <w:r>
        <w:rPr>
          <w:spacing w:val="-2"/>
          <w:kern w:val="2"/>
          <w:sz w:val="21"/>
        </w:rPr>
        <w:tab/>
      </w:r>
      <w:r>
        <w:rPr>
          <w:spacing w:val="-2"/>
          <w:kern w:val="2"/>
          <w:sz w:val="21"/>
          <w:u w:val="single"/>
        </w:rPr>
        <w:tab/>
        <w:t>16,221</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spacing w:lineRule="exact" w:line="180"/>
        <w:jc w:val="both"/>
        <w:rPr>
          <w:spacing w:val="-2"/>
          <w:kern w:val="2"/>
          <w:sz w:val="21"/>
        </w:rPr>
      </w:pPr>
      <w:r>
        <w:rPr>
          <w:spacing w:val="-2"/>
          <w:kern w:val="2"/>
          <w:sz w:val="21"/>
        </w:rPr>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Total Assets</w:t>
        <w:tab/>
        <w:tab/>
      </w:r>
      <w:r>
        <w:rPr>
          <w:spacing w:val="-2"/>
          <w:kern w:val="2"/>
          <w:sz w:val="21"/>
          <w:u w:val="double"/>
        </w:rPr>
        <w:t>$</w:t>
        <w:tab/>
        <w:t>1,319,265</w:t>
      </w:r>
      <w:r>
        <w:rPr>
          <w:spacing w:val="-2"/>
          <w:kern w:val="2"/>
          <w:sz w:val="21"/>
        </w:rPr>
        <w:tab/>
      </w:r>
      <w:r>
        <w:rPr>
          <w:spacing w:val="-2"/>
          <w:kern w:val="2"/>
          <w:sz w:val="21"/>
          <w:u w:val="double"/>
        </w:rPr>
        <w:t>$</w:t>
        <w:tab/>
        <w:t>1,492,993</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spacing w:lineRule="exact" w:line="180"/>
        <w:jc w:val="both"/>
        <w:rPr>
          <w:spacing w:val="-2"/>
          <w:kern w:val="2"/>
          <w:sz w:val="21"/>
        </w:rPr>
      </w:pPr>
      <w:r>
        <w:rPr>
          <w:spacing w:val="-2"/>
          <w:kern w:val="2"/>
          <w:sz w:val="21"/>
        </w:rPr>
      </w:r>
    </w:p>
    <w:p>
      <w:pPr>
        <w:pStyle w:val="Normal"/>
        <w:tabs>
          <w:tab w:val="clear" w:pos="720"/>
          <w:tab w:val="left" w:pos="360" w:leader="none"/>
          <w:tab w:val="left" w:pos="540" w:leader="none"/>
          <w:tab w:val="center" w:pos="2880" w:leader="none"/>
        </w:tabs>
        <w:suppressAutoHyphens w:val="true"/>
        <w:jc w:val="both"/>
        <w:rPr>
          <w:spacing w:val="-2"/>
          <w:kern w:val="2"/>
          <w:sz w:val="21"/>
        </w:rPr>
      </w:pPr>
      <w:r>
        <w:rPr>
          <w:b/>
          <w:spacing w:val="-2"/>
          <w:kern w:val="2"/>
          <w:sz w:val="21"/>
        </w:rPr>
        <w:tab/>
        <w:tab/>
        <w:tab/>
        <w:t>Liabilities and Partners’ Capital</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Current Liabilities</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 xml:space="preserve">Trade accounts payable </w:t>
        <w:tab/>
        <w:tab/>
        <w:t>$</w:t>
        <w:tab/>
        <w:t>908,494</w:t>
        <w:tab/>
        <w:t>$</w:t>
        <w:tab/>
        <w:t>1,118,754</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Accrued taxes payable</w:t>
        <w:tab/>
        <w:tab/>
        <w:tab/>
        <w:t>9,552</w:t>
        <w:tab/>
        <w:tab/>
        <w:t>10,755</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Repurchase agreements</w:t>
        <w:tab/>
        <w:tab/>
        <w:tab/>
        <w:t>30,000</w:t>
        <w:tab/>
        <w:tab/>
      </w:r>
      <w:r>
        <w:rPr>
          <w:rFonts w:eastAsia="Symbol" w:cs="Symbol" w:ascii="Symbol" w:hAnsi="Symbol"/>
          <w:spacing w:val="-2"/>
          <w:kern w:val="2"/>
          <w:sz w:val="21"/>
        </w:rPr>
        <w:sym w:font="Symbol" w:char="f02d"/>
        <w:sym w:font="Symbol" w:char="f020"/>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Other</w:t>
        <w:tab/>
        <w:tab/>
      </w:r>
      <w:r>
        <w:rPr>
          <w:spacing w:val="-2"/>
          <w:kern w:val="2"/>
          <w:sz w:val="21"/>
          <w:u w:val="single"/>
        </w:rPr>
        <w:tab/>
        <w:t>34,909</w:t>
      </w:r>
      <w:r>
        <w:rPr>
          <w:spacing w:val="-2"/>
          <w:kern w:val="2"/>
          <w:sz w:val="21"/>
        </w:rPr>
        <w:tab/>
      </w:r>
      <w:r>
        <w:rPr>
          <w:spacing w:val="-2"/>
          <w:kern w:val="2"/>
          <w:sz w:val="21"/>
          <w:u w:val="single"/>
        </w:rPr>
        <w:tab/>
        <w:t>22,802</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b/>
        <w:t>Total current liabilities</w:t>
        <w:tab/>
        <w:tab/>
      </w:r>
      <w:r>
        <w:rPr>
          <w:spacing w:val="-2"/>
          <w:kern w:val="2"/>
          <w:sz w:val="21"/>
          <w:u w:val="single"/>
        </w:rPr>
        <w:tab/>
        <w:t>982,955</w:t>
      </w:r>
      <w:r>
        <w:rPr>
          <w:spacing w:val="-2"/>
          <w:kern w:val="2"/>
          <w:sz w:val="21"/>
        </w:rPr>
        <w:tab/>
      </w:r>
      <w:r>
        <w:rPr>
          <w:spacing w:val="-2"/>
          <w:kern w:val="2"/>
          <w:sz w:val="21"/>
          <w:u w:val="single"/>
        </w:rPr>
        <w:tab/>
        <w:t>1,152,311</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exact" w:line="180"/>
        <w:jc w:val="both"/>
        <w:rPr>
          <w:spacing w:val="-2"/>
          <w:kern w:val="2"/>
          <w:sz w:val="21"/>
        </w:rPr>
      </w:pPr>
      <w:r>
        <w:rPr>
          <w:spacing w:val="-2"/>
          <w:kern w:val="2"/>
          <w:sz w:val="21"/>
        </w:rPr>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Long-Term Liabilities</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pPr>
      <w:r>
        <w:rPr>
          <w:spacing w:val="-2"/>
          <w:kern w:val="2"/>
          <w:sz w:val="21"/>
        </w:rPr>
        <w:tab/>
        <w:t>11% Senior notes</w:t>
        <w:tab/>
        <w:tab/>
        <w:tab/>
      </w:r>
      <w:r>
        <w:rPr>
          <w:rFonts w:eastAsia="Symbol" w:cs="Symbol" w:ascii="Symbol" w:hAnsi="Symbol"/>
          <w:spacing w:val="-2"/>
          <w:kern w:val="2"/>
          <w:sz w:val="21"/>
        </w:rPr>
        <w:sym w:font="Symbol" w:char="f020"/>
      </w:r>
      <w:r>
        <w:rPr>
          <w:spacing w:val="-2"/>
          <w:kern w:val="2"/>
          <w:sz w:val="21"/>
        </w:rPr>
        <w:t>235,000</w:t>
        <w:tab/>
        <w:tab/>
      </w:r>
      <w:r>
        <w:rPr>
          <w:rFonts w:eastAsia="Symbol" w:cs="Symbol" w:ascii="Symbol" w:hAnsi="Symbol"/>
          <w:spacing w:val="-2"/>
          <w:kern w:val="2"/>
          <w:sz w:val="21"/>
        </w:rPr>
        <w:sym w:font="Symbol" w:char="f020"/>
        <w:sym w:font="Symbol" w:char="f020"/>
      </w:r>
      <w:r>
        <w:rPr>
          <w:spacing w:val="-2"/>
          <w:kern w:val="2"/>
          <w:sz w:val="21"/>
        </w:rPr>
        <w:t>235,000</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Other</w:t>
        <w:tab/>
        <w:tab/>
      </w:r>
      <w:r>
        <w:rPr>
          <w:spacing w:val="-2"/>
          <w:kern w:val="2"/>
          <w:sz w:val="21"/>
          <w:u w:val="single"/>
        </w:rPr>
        <w:tab/>
        <w:t>77</w:t>
      </w:r>
      <w:r>
        <w:rPr>
          <w:spacing w:val="-2"/>
          <w:kern w:val="2"/>
          <w:sz w:val="21"/>
        </w:rPr>
        <w:tab/>
      </w:r>
      <w:r>
        <w:rPr>
          <w:spacing w:val="-2"/>
          <w:kern w:val="2"/>
          <w:sz w:val="21"/>
          <w:u w:val="single"/>
        </w:rPr>
        <w:tab/>
      </w:r>
      <w:r>
        <w:rPr>
          <w:rFonts w:eastAsia="Symbol" w:cs="Symbol" w:ascii="Symbol" w:hAnsi="Symbol"/>
          <w:spacing w:val="-2"/>
          <w:kern w:val="2"/>
          <w:sz w:val="21"/>
          <w:u w:val="single"/>
        </w:rPr>
        <w:sym w:font="Symbol" w:char="f02d"/>
      </w:r>
      <w:r>
        <w:rPr>
          <w:rFonts w:eastAsia="Symbol" w:cs="Symbol" w:ascii="Symbol" w:hAnsi="Symbol"/>
          <w:spacing w:val="-2"/>
          <w:kern w:val="2"/>
          <w:u w:val="single"/>
        </w:rPr>
        <w:sym w:font="Symbol" w:char="f020"/>
        <w:sym w:font="Symbol" w:char="f020"/>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b/>
        <w:t>Total long-term liabilities</w:t>
        <w:tab/>
        <w:tab/>
      </w:r>
      <w:r>
        <w:rPr>
          <w:spacing w:val="-2"/>
          <w:kern w:val="2"/>
          <w:sz w:val="21"/>
          <w:u w:val="single"/>
        </w:rPr>
        <w:tab/>
        <w:t>235,077</w:t>
      </w:r>
      <w:r>
        <w:rPr>
          <w:spacing w:val="-2"/>
          <w:kern w:val="2"/>
          <w:sz w:val="21"/>
        </w:rPr>
        <w:tab/>
      </w:r>
      <w:r>
        <w:rPr>
          <w:spacing w:val="-2"/>
          <w:kern w:val="2"/>
          <w:sz w:val="21"/>
          <w:u w:val="single"/>
        </w:rPr>
        <w:tab/>
      </w:r>
      <w:r>
        <w:rPr>
          <w:spacing w:val="-2"/>
          <w:kern w:val="2"/>
          <w:u w:val="single"/>
        </w:rPr>
        <w:t>235,000</w:t>
      </w:r>
      <w:r>
        <w:rPr>
          <w:rFonts w:eastAsia="Symbol" w:cs="Symbol" w:ascii="Symbol" w:hAnsi="Symbol"/>
          <w:spacing w:val="-2"/>
          <w:kern w:val="2"/>
          <w:u w:val="single"/>
        </w:rPr>
        <w:sym w:font="Symbol" w:char="f020"/>
        <w:sym w:font="Symbol" w:char="f020"/>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before="120" w:after="0"/>
        <w:jc w:val="both"/>
        <w:rPr/>
      </w:pPr>
      <w:r>
        <w:rPr>
          <w:spacing w:val="-2"/>
          <w:kern w:val="2"/>
          <w:sz w:val="21"/>
        </w:rPr>
        <w:t xml:space="preserve">Commitments and Contingencies (Note </w:t>
      </w:r>
      <w:r>
        <w:rPr>
          <w:color w:val="FF0000"/>
          <w:spacing w:val="-2"/>
          <w:kern w:val="2"/>
          <w:sz w:val="21"/>
        </w:rPr>
        <w:t>6</w:t>
      </w:r>
      <w:r>
        <w:rPr>
          <w:spacing w:val="-2"/>
          <w:kern w:val="2"/>
          <w:sz w:val="21"/>
        </w:rPr>
        <w:t>)</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before="120" w:after="0"/>
        <w:jc w:val="both"/>
        <w:rPr>
          <w:spacing w:val="-2"/>
          <w:kern w:val="2"/>
          <w:sz w:val="21"/>
        </w:rPr>
      </w:pPr>
      <w:r>
        <w:rPr>
          <w:spacing w:val="-2"/>
          <w:kern w:val="2"/>
          <w:sz w:val="21"/>
        </w:rPr>
        <w:t>Additional Partnership Interests</w:t>
        <w:tab/>
        <w:tab/>
      </w:r>
      <w:r>
        <w:rPr>
          <w:spacing w:val="-2"/>
          <w:kern w:val="2"/>
          <w:sz w:val="21"/>
          <w:u w:val="single"/>
        </w:rPr>
        <w:tab/>
      </w:r>
      <w:r>
        <w:rPr>
          <w:rFonts w:eastAsia="Symbol" w:cs="Symbol" w:ascii="Symbol" w:hAnsi="Symbol"/>
          <w:spacing w:val="-2"/>
          <w:kern w:val="2"/>
          <w:u w:val="single"/>
        </w:rPr>
        <w:sym w:font="Symbol" w:char="f020"/>
        <w:sym w:font="Symbol" w:char="f020"/>
      </w:r>
      <w:r>
        <w:rPr>
          <w:spacing w:val="-2"/>
          <w:kern w:val="2"/>
          <w:u w:val="single"/>
        </w:rPr>
        <w:t>9,318</w:t>
      </w:r>
      <w:r>
        <w:rPr>
          <w:spacing w:val="-2"/>
          <w:kern w:val="2"/>
          <w:sz w:val="21"/>
        </w:rPr>
        <w:tab/>
      </w:r>
      <w:r>
        <w:rPr>
          <w:spacing w:val="-2"/>
          <w:kern w:val="2"/>
          <w:sz w:val="21"/>
          <w:u w:val="single"/>
        </w:rPr>
        <w:tab/>
        <w:t>9,318</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exact" w:line="180"/>
        <w:jc w:val="both"/>
        <w:rPr>
          <w:spacing w:val="-2"/>
          <w:kern w:val="2"/>
          <w:sz w:val="21"/>
        </w:rPr>
      </w:pPr>
      <w:r>
        <w:rPr>
          <w:spacing w:val="-2"/>
          <w:kern w:val="2"/>
          <w:sz w:val="21"/>
        </w:rPr>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Partners’ Capital</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Common Unitholders</w:t>
        <w:tab/>
        <w:tab/>
        <w:tab/>
        <w:t>42,985</w:t>
        <w:tab/>
        <w:tab/>
        <w:t>47,581</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Subordinated Unitholders</w:t>
        <w:tab/>
        <w:tab/>
        <w:tab/>
        <w:t>41,731</w:t>
        <w:tab/>
        <w:tab/>
        <w:t>41,496</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General Partner</w:t>
        <w:tab/>
        <w:tab/>
      </w:r>
      <w:r>
        <w:rPr>
          <w:spacing w:val="-2"/>
          <w:kern w:val="2"/>
          <w:sz w:val="21"/>
          <w:u w:val="single"/>
        </w:rPr>
        <w:tab/>
        <w:t>7,199</w:t>
      </w:r>
      <w:r>
        <w:rPr>
          <w:spacing w:val="-2"/>
          <w:kern w:val="2"/>
          <w:sz w:val="21"/>
        </w:rPr>
        <w:tab/>
      </w:r>
      <w:r>
        <w:rPr>
          <w:spacing w:val="-2"/>
          <w:kern w:val="2"/>
          <w:sz w:val="21"/>
          <w:u w:val="single"/>
        </w:rPr>
        <w:tab/>
        <w:t>7,287</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pPr>
      <w:r>
        <w:rPr>
          <w:spacing w:val="-2"/>
          <w:kern w:val="2"/>
          <w:sz w:val="21"/>
        </w:rPr>
        <w:tab/>
        <w:tab/>
        <w:t>Total Partners’ Capital</w:t>
        <w:tab/>
        <w:tab/>
      </w:r>
      <w:r>
        <w:rPr>
          <w:spacing w:val="-2"/>
          <w:kern w:val="2"/>
          <w:sz w:val="21"/>
          <w:u w:val="single"/>
        </w:rPr>
        <w:tab/>
        <w:t>91,915</w:t>
      </w:r>
      <w:r>
        <w:rPr>
          <w:spacing w:val="-2"/>
          <w:kern w:val="2"/>
          <w:sz w:val="21"/>
        </w:rPr>
        <w:tab/>
      </w:r>
      <w:r>
        <w:rPr>
          <w:spacing w:val="-2"/>
          <w:kern w:val="2"/>
          <w:sz w:val="21"/>
          <w:u w:val="single"/>
        </w:rPr>
        <w:tab/>
        <w:t>96,364</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u w:val="single"/>
        </w:rPr>
      </w:pPr>
      <w:r>
        <w:rPr>
          <w:spacing w:val="-2"/>
          <w:kern w:val="2"/>
          <w:sz w:val="21"/>
          <w:u w:val="single"/>
        </w:rPr>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Total Liabilities and Partners’ Capital</w:t>
        <w:tab/>
        <w:tab/>
      </w:r>
      <w:r>
        <w:rPr>
          <w:spacing w:val="-2"/>
          <w:kern w:val="2"/>
          <w:sz w:val="21"/>
          <w:u w:val="double"/>
        </w:rPr>
        <w:t>$</w:t>
        <w:tab/>
        <w:t>1,319,265</w:t>
      </w:r>
      <w:r>
        <w:rPr>
          <w:spacing w:val="-2"/>
          <w:kern w:val="2"/>
          <w:sz w:val="21"/>
        </w:rPr>
        <w:tab/>
      </w:r>
      <w:r>
        <w:rPr>
          <w:spacing w:val="-2"/>
          <w:kern w:val="2"/>
          <w:sz w:val="21"/>
          <w:u w:val="double"/>
        </w:rPr>
        <w:t>$</w:t>
        <w:tab/>
        <w:t>1,492,993</w:t>
      </w:r>
    </w:p>
    <w:p>
      <w:pPr>
        <w:pStyle w:val="Normal"/>
        <w:tabs>
          <w:tab w:val="clear" w:pos="720"/>
          <w:tab w:val="center" w:pos="4680" w:leader="none"/>
        </w:tabs>
        <w:suppressAutoHyphens w:val="true"/>
        <w:jc w:val="both"/>
        <w:rPr>
          <w:spacing w:val="-2"/>
          <w:kern w:val="2"/>
          <w:sz w:val="21"/>
        </w:rPr>
      </w:pPr>
      <w:r>
        <w:rPr>
          <w:spacing w:val="-2"/>
          <w:kern w:val="2"/>
          <w:sz w:val="21"/>
        </w:rPr>
      </w:r>
    </w:p>
    <w:p>
      <w:pPr>
        <w:pStyle w:val="Normal"/>
        <w:tabs>
          <w:tab w:val="clear" w:pos="720"/>
          <w:tab w:val="center" w:pos="4680" w:leader="none"/>
        </w:tabs>
        <w:suppressAutoHyphens w:val="true"/>
        <w:jc w:val="both"/>
        <w:rPr>
          <w:spacing w:val="-2"/>
          <w:kern w:val="2"/>
          <w:sz w:val="21"/>
        </w:rPr>
      </w:pPr>
      <w:r>
        <w:rPr>
          <w:spacing w:val="-2"/>
          <w:kern w:val="2"/>
          <w:sz w:val="21"/>
        </w:rPr>
      </w:r>
    </w:p>
    <w:p>
      <w:pPr>
        <w:pStyle w:val="Normal"/>
        <w:tabs>
          <w:tab w:val="clear" w:pos="720"/>
          <w:tab w:val="center" w:pos="4680" w:leader="none"/>
        </w:tabs>
        <w:suppressAutoHyphens w:val="true"/>
        <w:jc w:val="both"/>
        <w:rPr>
          <w:spacing w:val="-2"/>
          <w:kern w:val="2"/>
          <w:sz w:val="21"/>
        </w:rPr>
      </w:pPr>
      <w:r>
        <w:rPr>
          <w:spacing w:val="-2"/>
          <w:kern w:val="2"/>
          <w:sz w:val="21"/>
        </w:rPr>
      </w:r>
    </w:p>
    <w:p>
      <w:pPr>
        <w:pStyle w:val="Normal"/>
        <w:tabs>
          <w:tab w:val="clear" w:pos="720"/>
          <w:tab w:val="center" w:pos="4680" w:leader="none"/>
        </w:tabs>
        <w:suppressAutoHyphens w:val="true"/>
        <w:jc w:val="both"/>
        <w:rPr>
          <w:spacing w:val="-2"/>
          <w:kern w:val="2"/>
          <w:sz w:val="21"/>
        </w:rPr>
      </w:pPr>
      <w:r>
        <w:rPr>
          <w:spacing w:val="-2"/>
          <w:kern w:val="2"/>
          <w:sz w:val="21"/>
        </w:rPr>
        <w:tab/>
        <w:t>The accompanying notes are an integral part of these condensed consolidated financial statements.</w:t>
      </w:r>
      <w:r>
        <w:br w:type="page"/>
      </w:r>
    </w:p>
    <w:p>
      <w:pPr>
        <w:pStyle w:val="Normal"/>
        <w:tabs>
          <w:tab w:val="clear" w:pos="720"/>
          <w:tab w:val="center" w:pos="4680" w:leader="none"/>
        </w:tabs>
        <w:suppressAutoHyphens w:val="true"/>
        <w:spacing w:lineRule="auto" w:line="233"/>
        <w:jc w:val="both"/>
        <w:rPr>
          <w:b/>
          <w:spacing w:val="-2"/>
          <w:kern w:val="2"/>
          <w:sz w:val="21"/>
        </w:rPr>
      </w:pPr>
      <w:r>
        <w:rPr>
          <w:b/>
          <w:spacing w:val="-2"/>
          <w:kern w:val="2"/>
          <w:sz w:val="21"/>
        </w:rPr>
        <w:tab/>
        <w:t>EOTT ENERGY PARTNERS, L.P.</w:t>
      </w:r>
    </w:p>
    <w:p>
      <w:pPr>
        <w:pStyle w:val="Heading2"/>
        <w:tabs>
          <w:tab w:val="clear" w:pos="259"/>
          <w:tab w:val="clear" w:pos="540"/>
          <w:tab w:val="clear" w:pos="720"/>
          <w:tab w:val="clear" w:pos="6840"/>
          <w:tab w:val="clear" w:pos="7020"/>
          <w:tab w:val="clear" w:pos="8100"/>
          <w:tab w:val="clear" w:pos="8280"/>
          <w:tab w:val="clear" w:pos="9360"/>
          <w:tab w:val="center" w:pos="4680" w:leader="none"/>
        </w:tabs>
        <w:spacing w:lineRule="auto" w:line="233"/>
        <w:ind w:hanging="0" w:start="0"/>
        <w:rPr/>
      </w:pPr>
      <w:r>
        <w:rPr/>
        <w:tab/>
        <w:t>CONDENSED CONSOLIDATED STATEMENTS OF CASH FLOWS</w:t>
      </w:r>
    </w:p>
    <w:p>
      <w:pPr>
        <w:pStyle w:val="Normal"/>
        <w:tabs>
          <w:tab w:val="clear" w:pos="720"/>
          <w:tab w:val="center" w:pos="4680" w:leader="none"/>
        </w:tabs>
        <w:suppressAutoHyphens w:val="true"/>
        <w:spacing w:lineRule="auto" w:line="233"/>
        <w:jc w:val="both"/>
        <w:rPr>
          <w:b/>
          <w:i/>
          <w:i/>
          <w:spacing w:val="-2"/>
          <w:kern w:val="2"/>
          <w:sz w:val="21"/>
        </w:rPr>
      </w:pPr>
      <w:r>
        <w:rPr>
          <w:b/>
          <w:i/>
          <w:spacing w:val="-2"/>
          <w:kern w:val="2"/>
          <w:sz w:val="21"/>
        </w:rPr>
        <w:tab/>
        <w:t>(In Thousands)</w:t>
      </w:r>
    </w:p>
    <w:p>
      <w:pPr>
        <w:pStyle w:val="Normal"/>
        <w:tabs>
          <w:tab w:val="clear" w:pos="720"/>
          <w:tab w:val="center" w:pos="4680" w:leader="none"/>
        </w:tabs>
        <w:suppressAutoHyphens w:val="true"/>
        <w:spacing w:lineRule="auto" w:line="233"/>
        <w:jc w:val="both"/>
        <w:rPr>
          <w:i/>
          <w:i/>
          <w:spacing w:val="-2"/>
          <w:kern w:val="2"/>
          <w:sz w:val="21"/>
        </w:rPr>
      </w:pPr>
      <w:r>
        <w:rPr>
          <w:b/>
          <w:i/>
          <w:spacing w:val="-2"/>
          <w:kern w:val="2"/>
          <w:sz w:val="21"/>
        </w:rPr>
        <w:tab/>
        <w:t>(Unaudited)</w:t>
      </w:r>
    </w:p>
    <w:p>
      <w:pPr>
        <w:pStyle w:val="Normal"/>
        <w:tabs>
          <w:tab w:val="left" w:pos="259" w:leader="none"/>
          <w:tab w:val="left" w:pos="540" w:leader="none"/>
          <w:tab w:val="left" w:pos="720" w:leader="none"/>
          <w:tab w:val="left" w:pos="6826" w:leader="none"/>
          <w:tab w:val="decimal" w:pos="7949" w:leader="none"/>
          <w:tab w:val="left" w:pos="8208" w:leader="none"/>
          <w:tab w:val="decimal" w:pos="9245" w:leader="none"/>
        </w:tabs>
        <w:suppressAutoHyphens w:val="true"/>
        <w:jc w:val="both"/>
        <w:rPr>
          <w:i/>
          <w:i/>
          <w:spacing w:val="-2"/>
          <w:kern w:val="2"/>
          <w:sz w:val="21"/>
        </w:rPr>
      </w:pPr>
      <w:r>
        <w:rPr>
          <w:i/>
          <w:spacing w:val="-2"/>
          <w:kern w:val="2"/>
          <w:sz w:val="21"/>
        </w:rPr>
      </w:r>
    </w:p>
    <w:p>
      <w:pPr>
        <w:pStyle w:val="Normal"/>
        <w:tabs>
          <w:tab w:val="clear" w:pos="720"/>
          <w:tab w:val="left" w:pos="7020" w:leader="none"/>
          <w:tab w:val="center" w:pos="8190" w:leader="none"/>
          <w:tab w:val="decimal" w:pos="9360" w:leader="none"/>
        </w:tabs>
        <w:suppressAutoHyphens w:val="true"/>
        <w:spacing w:lineRule="auto" w:line="216"/>
        <w:jc w:val="both"/>
        <w:rPr>
          <w:b/>
          <w:spacing w:val="-2"/>
          <w:kern w:val="2"/>
          <w:sz w:val="17"/>
        </w:rPr>
      </w:pPr>
      <w:r>
        <w:rPr>
          <w:b/>
          <w:spacing w:val="-2"/>
          <w:kern w:val="2"/>
          <w:sz w:val="17"/>
        </w:rPr>
        <w:tab/>
        <w:tab/>
        <w:t>Three Months Ended</w:t>
        <w:tab/>
      </w:r>
    </w:p>
    <w:p>
      <w:pPr>
        <w:pStyle w:val="Normal"/>
        <w:tabs>
          <w:tab w:val="clear" w:pos="720"/>
          <w:tab w:val="left" w:pos="7020" w:leader="none"/>
          <w:tab w:val="center" w:pos="8190" w:leader="none"/>
          <w:tab w:val="decimal" w:pos="9360" w:leader="none"/>
        </w:tabs>
        <w:suppressAutoHyphens w:val="true"/>
        <w:spacing w:lineRule="auto" w:line="216"/>
        <w:jc w:val="both"/>
        <w:rPr>
          <w:b/>
          <w:spacing w:val="-2"/>
          <w:kern w:val="2"/>
          <w:sz w:val="17"/>
        </w:rPr>
      </w:pPr>
      <w:r>
        <w:rPr>
          <w:b/>
          <w:spacing w:val="-2"/>
          <w:kern w:val="2"/>
          <w:sz w:val="17"/>
        </w:rPr>
        <w:tab/>
      </w:r>
      <w:r>
        <w:rPr>
          <w:b/>
          <w:spacing w:val="-2"/>
          <w:kern w:val="2"/>
          <w:sz w:val="17"/>
          <w:u w:val="single"/>
        </w:rPr>
        <w:tab/>
        <w:t>March 31,</w:t>
        <w:tab/>
      </w:r>
    </w:p>
    <w:p>
      <w:pPr>
        <w:pStyle w:val="Normal"/>
        <w:tabs>
          <w:tab w:val="clear" w:pos="720"/>
          <w:tab w:val="left" w:pos="7020" w:leader="none"/>
          <w:tab w:val="center" w:pos="7560" w:leader="none"/>
          <w:tab w:val="decimal" w:pos="8100" w:leader="none"/>
          <w:tab w:val="left" w:pos="8280" w:leader="none"/>
          <w:tab w:val="center" w:pos="8820" w:leader="none"/>
          <w:tab w:val="decimal" w:pos="9360" w:leader="none"/>
        </w:tabs>
        <w:suppressAutoHyphens w:val="true"/>
        <w:spacing w:lineRule="auto" w:line="216"/>
        <w:jc w:val="both"/>
        <w:rPr>
          <w:b/>
          <w:spacing w:val="-2"/>
          <w:kern w:val="2"/>
          <w:sz w:val="17"/>
        </w:rPr>
      </w:pPr>
      <w:r>
        <w:rPr>
          <w:b/>
          <w:spacing w:val="-2"/>
          <w:kern w:val="2"/>
          <w:sz w:val="17"/>
        </w:rPr>
        <w:tab/>
      </w:r>
      <w:r>
        <w:rPr>
          <w:b/>
          <w:spacing w:val="-2"/>
          <w:kern w:val="2"/>
          <w:sz w:val="17"/>
          <w:u w:val="single"/>
        </w:rPr>
        <w:tab/>
        <w:t>2001</w:t>
        <w:tab/>
      </w:r>
      <w:r>
        <w:rPr>
          <w:b/>
          <w:spacing w:val="-2"/>
          <w:kern w:val="2"/>
          <w:sz w:val="17"/>
        </w:rPr>
        <w:tab/>
      </w:r>
      <w:r>
        <w:rPr>
          <w:b/>
          <w:spacing w:val="-2"/>
          <w:kern w:val="2"/>
          <w:sz w:val="17"/>
          <w:u w:val="single"/>
        </w:rPr>
        <w:tab/>
        <w:t>2000</w:t>
        <w:tab/>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auto" w:line="300"/>
        <w:jc w:val="both"/>
        <w:rPr>
          <w:spacing w:val="-2"/>
          <w:kern w:val="2"/>
          <w:sz w:val="21"/>
        </w:rPr>
      </w:pPr>
      <w:r>
        <w:rPr>
          <w:b/>
          <w:spacing w:val="-2"/>
          <w:kern w:val="2"/>
          <w:sz w:val="21"/>
        </w:rPr>
        <w:t>Cash Flows From Operating Activities</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Reconciliation of net income to net cash</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b/>
        <w:t>provided by (used in) operating activities –</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Net income</w:t>
        <w:tab/>
        <w:tab/>
        <w:t>$</w:t>
        <w:tab/>
        <w:t>6,342</w:t>
        <w:tab/>
        <w:t>$</w:t>
        <w:tab/>
        <w:t>2,221</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Depreciation</w:t>
        <w:tab/>
        <w:tab/>
        <w:tab/>
        <w:t>8,243</w:t>
        <w:tab/>
        <w:tab/>
        <w:t>8,128</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Amortization of intangible assets</w:t>
        <w:tab/>
        <w:tab/>
        <w:tab/>
        <w:t>264</w:t>
        <w:tab/>
        <w:tab/>
        <w:t>264</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Gains on disposal of assets</w:t>
        <w:tab/>
        <w:tab/>
        <w:tab/>
        <w:t>158</w:t>
        <w:tab/>
      </w:r>
      <w:r>
        <w:rPr>
          <w:spacing w:val="-2"/>
          <w:kern w:val="2"/>
          <w:sz w:val="22"/>
        </w:rPr>
        <w:tab/>
        <w:t>(211)</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Changes in components of working capital –</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b/>
        <w:t>Receivables</w:t>
        <w:tab/>
        <w:tab/>
        <w:tab/>
        <w:t>160,428</w:t>
        <w:tab/>
        <w:tab/>
        <w:t>60,754</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b/>
        <w:t>Inventories</w:t>
        <w:tab/>
        <w:tab/>
        <w:tab/>
        <w:t>(32,076)</w:t>
        <w:tab/>
        <w:tab/>
        <w:t>49,017</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b/>
        <w:t>Other current assets</w:t>
        <w:tab/>
        <w:tab/>
        <w:tab/>
        <w:t>(11,961)</w:t>
        <w:tab/>
        <w:tab/>
        <w:t>623</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b/>
        <w:t>Trade accounts payable</w:t>
        <w:tab/>
        <w:tab/>
        <w:tab/>
        <w:t>(210,260)</w:t>
        <w:tab/>
        <w:tab/>
        <w:t>(118,077)</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b/>
        <w:t>Accrued taxes payable</w:t>
        <w:tab/>
        <w:tab/>
        <w:tab/>
        <w:t>(1,203)</w:t>
        <w:tab/>
        <w:tab/>
        <w:t>(1,679)</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b/>
        <w:t>Other current liabilities</w:t>
        <w:tab/>
        <w:tab/>
        <w:tab/>
        <w:t>12,107</w:t>
        <w:tab/>
        <w:tab/>
        <w:t>(1,132)</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Other assets and liabilities</w:t>
        <w:tab/>
        <w:tab/>
      </w:r>
      <w:r>
        <w:rPr>
          <w:spacing w:val="-2"/>
          <w:kern w:val="2"/>
          <w:sz w:val="21"/>
          <w:u w:val="single"/>
        </w:rPr>
        <w:tab/>
        <w:t>1,278</w:t>
      </w:r>
      <w:r>
        <w:rPr>
          <w:spacing w:val="-2"/>
          <w:kern w:val="2"/>
          <w:sz w:val="21"/>
        </w:rPr>
        <w:tab/>
      </w:r>
      <w:r>
        <w:rPr>
          <w:spacing w:val="-2"/>
          <w:kern w:val="2"/>
          <w:sz w:val="21"/>
          <w:u w:val="single"/>
        </w:rPr>
        <w:tab/>
        <w:t>434</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Net Cash Provided By (Used In) Operating Activities</w:t>
        <w:tab/>
        <w:tab/>
      </w:r>
      <w:r>
        <w:rPr>
          <w:spacing w:val="-2"/>
          <w:kern w:val="2"/>
          <w:sz w:val="21"/>
          <w:u w:val="single"/>
        </w:rPr>
        <w:tab/>
        <w:t>(66,680</w:t>
      </w:r>
      <w:r>
        <w:rPr>
          <w:spacing w:val="-2"/>
          <w:kern w:val="2"/>
          <w:sz w:val="21"/>
        </w:rPr>
        <w:t>)</w:t>
        <w:tab/>
      </w:r>
      <w:r>
        <w:rPr>
          <w:spacing w:val="-2"/>
          <w:kern w:val="2"/>
          <w:sz w:val="21"/>
          <w:u w:val="single"/>
        </w:rPr>
        <w:tab/>
        <w:t>342</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exact" w:line="180"/>
        <w:jc w:val="both"/>
        <w:rPr>
          <w:spacing w:val="-2"/>
          <w:kern w:val="2"/>
          <w:sz w:val="21"/>
        </w:rPr>
      </w:pPr>
      <w:r>
        <w:rPr>
          <w:spacing w:val="-2"/>
          <w:kern w:val="2"/>
          <w:sz w:val="21"/>
        </w:rPr>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auto" w:line="300"/>
        <w:jc w:val="both"/>
        <w:rPr>
          <w:b/>
          <w:spacing w:val="-2"/>
          <w:kern w:val="2"/>
          <w:sz w:val="21"/>
        </w:rPr>
      </w:pPr>
      <w:r>
        <w:rPr>
          <w:b/>
          <w:spacing w:val="-2"/>
          <w:kern w:val="2"/>
          <w:sz w:val="21"/>
        </w:rPr>
        <w:t>Cash Flows From Investing Activities</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Proceeds from sale of property, plant and equipment</w:t>
        <w:tab/>
        <w:tab/>
        <w:tab/>
        <w:t>1,077</w:t>
        <w:tab/>
        <w:tab/>
        <w:t>181</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pPr>
      <w:r>
        <w:rPr>
          <w:spacing w:val="-2"/>
          <w:kern w:val="2"/>
          <w:sz w:val="21"/>
        </w:rPr>
        <w:tab/>
        <w:t>Additions to property, plant and equipment</w:t>
        <w:tab/>
        <w:tab/>
      </w:r>
      <w:r>
        <w:rPr>
          <w:spacing w:val="-2"/>
          <w:kern w:val="2"/>
          <w:sz w:val="21"/>
          <w:u w:val="single"/>
        </w:rPr>
        <w:tab/>
      </w:r>
      <w:r>
        <w:rPr>
          <w:rFonts w:eastAsia="Symbol" w:cs="Symbol" w:ascii="Symbol" w:hAnsi="Symbol"/>
          <w:spacing w:val="-2"/>
          <w:kern w:val="2"/>
          <w:u w:val="single"/>
        </w:rPr>
        <w:sym w:font="Symbol" w:char="f020"/>
        <w:sym w:font="Symbol" w:char="f020"/>
      </w:r>
      <w:r>
        <w:rPr>
          <w:rFonts w:eastAsia="Symbol" w:cs="Symbol" w:ascii="Symbol" w:hAnsi="Symbol"/>
          <w:spacing w:val="-2"/>
          <w:kern w:val="2"/>
          <w:sz w:val="22"/>
          <w:u w:val="single"/>
        </w:rPr>
        <w:sym w:font="Symbol" w:char="f020"/>
        <w:sym w:font="Symbol" w:char="f020"/>
      </w:r>
      <w:r>
        <w:rPr>
          <w:spacing w:val="-2"/>
          <w:kern w:val="2"/>
          <w:sz w:val="22"/>
          <w:u w:val="single"/>
        </w:rPr>
        <w:t>(4,292</w:t>
      </w:r>
      <w:r>
        <w:rPr>
          <w:spacing w:val="-2"/>
          <w:kern w:val="2"/>
          <w:sz w:val="22"/>
        </w:rPr>
        <w:t>)</w:t>
      </w:r>
      <w:r>
        <w:rPr>
          <w:spacing w:val="-2"/>
          <w:kern w:val="2"/>
          <w:sz w:val="21"/>
        </w:rPr>
        <w:tab/>
      </w:r>
      <w:r>
        <w:rPr>
          <w:spacing w:val="-2"/>
          <w:kern w:val="2"/>
          <w:sz w:val="21"/>
          <w:u w:val="single"/>
        </w:rPr>
        <w:tab/>
        <w:t>(3,057</w:t>
      </w:r>
      <w:r>
        <w:rPr>
          <w:spacing w:val="-2"/>
          <w:kern w:val="2"/>
          <w:sz w:val="21"/>
        </w:rPr>
        <w:t>)</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pPr>
      <w:r>
        <w:rPr>
          <w:spacing w:val="-2"/>
          <w:kern w:val="2"/>
          <w:sz w:val="21"/>
        </w:rPr>
        <w:t>Net Cash Used In Investing Activities</w:t>
        <w:tab/>
        <w:tab/>
      </w:r>
      <w:r>
        <w:rPr>
          <w:spacing w:val="-2"/>
          <w:kern w:val="2"/>
          <w:sz w:val="21"/>
          <w:u w:val="single"/>
        </w:rPr>
        <w:tab/>
        <w:t>(3,215</w:t>
      </w:r>
      <w:r>
        <w:rPr>
          <w:spacing w:val="-2"/>
          <w:kern w:val="2"/>
          <w:sz w:val="21"/>
        </w:rPr>
        <w:t>)</w:t>
        <w:tab/>
      </w:r>
      <w:r>
        <w:rPr>
          <w:spacing w:val="-2"/>
          <w:kern w:val="2"/>
          <w:sz w:val="21"/>
          <w:u w:val="single"/>
        </w:rPr>
        <w:tab/>
        <w:t>(2,876</w:t>
      </w:r>
      <w:r>
        <w:rPr>
          <w:spacing w:val="-2"/>
          <w:kern w:val="2"/>
          <w:sz w:val="21"/>
        </w:rPr>
        <w:t>)</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exact" w:line="180"/>
        <w:jc w:val="both"/>
        <w:rPr>
          <w:spacing w:val="-2"/>
          <w:kern w:val="2"/>
          <w:sz w:val="21"/>
        </w:rPr>
      </w:pPr>
      <w:r>
        <w:rPr>
          <w:spacing w:val="-2"/>
          <w:kern w:val="2"/>
          <w:sz w:val="21"/>
        </w:rPr>
      </w:r>
    </w:p>
    <w:p>
      <w:pPr>
        <w:pStyle w:val="Heading2"/>
        <w:ind w:hanging="0" w:start="0"/>
        <w:rPr/>
      </w:pPr>
      <w:r>
        <w:rPr/>
        <w:t xml:space="preserve">Cash Flows From Financing Activities </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pPr>
      <w:r>
        <w:rPr>
          <w:spacing w:val="-2"/>
          <w:kern w:val="2"/>
          <w:sz w:val="21"/>
        </w:rPr>
        <w:tab/>
        <w:t>Increase in short-term borrowings - affiliate</w:t>
        <w:tab/>
        <w:tab/>
        <w:tab/>
      </w:r>
      <w:r>
        <w:rPr>
          <w:rFonts w:eastAsia="Symbol" w:cs="Symbol" w:ascii="Symbol" w:hAnsi="Symbol"/>
          <w:spacing w:val="-2"/>
          <w:kern w:val="2"/>
          <w:sz w:val="21"/>
        </w:rPr>
        <w:sym w:font="Symbol" w:char="f02d"/>
        <w:sym w:font="Symbol" w:char="f020"/>
      </w:r>
      <w:r>
        <w:rPr>
          <w:spacing w:val="-2"/>
          <w:kern w:val="2"/>
          <w:sz w:val="21"/>
        </w:rPr>
        <w:tab/>
      </w:r>
      <w:r>
        <w:rPr>
          <w:rFonts w:eastAsia="Symbol" w:cs="Symbol" w:ascii="Symbol" w:hAnsi="Symbol"/>
          <w:spacing w:val="-2"/>
          <w:kern w:val="2"/>
          <w:sz w:val="22"/>
        </w:rPr>
        <w:sym w:font="Symbol" w:char="f020"/>
      </w:r>
      <w:r>
        <w:rPr>
          <w:spacing w:val="-2"/>
          <w:kern w:val="2"/>
          <w:sz w:val="21"/>
        </w:rPr>
        <w:tab/>
        <w:t>12,700</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Increase (decrease) in repurchase agreements…</w:t>
        <w:tab/>
        <w:tab/>
        <w:tab/>
        <w:t>30,000</w:t>
        <w:tab/>
        <w:tab/>
        <w:t>(20,803)</w:t>
      </w:r>
    </w:p>
    <w:p>
      <w:pPr>
        <w:pStyle w:val="BodyTextIndent"/>
        <w:tabs>
          <w:tab w:val="clear" w:pos="346"/>
          <w:tab w:val="clear" w:pos="1710"/>
          <w:tab w:val="clear" w:pos="8294"/>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pacing w:lineRule="auto" w:line="240"/>
        <w:ind w:hanging="0" w:start="0" w:end="0"/>
        <w:rPr/>
      </w:pPr>
      <w:r>
        <w:rPr/>
        <w:tab/>
        <w:t>Distributions to Unitholders.</w:t>
        <w:tab/>
        <w:tab/>
        <w:tab/>
        <w:t>(10,791)</w:t>
        <w:tab/>
        <w:tab/>
        <w:t>(8,886)</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ind w:firstLine="259" w:end="0"/>
        <w:jc w:val="both"/>
        <w:rPr>
          <w:spacing w:val="-2"/>
          <w:kern w:val="2"/>
          <w:sz w:val="21"/>
        </w:rPr>
      </w:pPr>
      <w:r>
        <w:rPr>
          <w:spacing w:val="-2"/>
          <w:kern w:val="2"/>
          <w:sz w:val="21"/>
        </w:rPr>
        <w:t>Issuance of Additional Partnership Interests</w:t>
        <w:tab/>
        <w:tab/>
      </w:r>
      <w:r>
        <w:rPr>
          <w:spacing w:val="-2"/>
          <w:kern w:val="2"/>
          <w:sz w:val="21"/>
          <w:u w:val="single"/>
        </w:rPr>
        <w:tab/>
      </w:r>
      <w:r>
        <w:rPr>
          <w:rFonts w:eastAsia="Symbol" w:cs="Symbol" w:ascii="Symbol" w:hAnsi="Symbol"/>
          <w:spacing w:val="-2"/>
          <w:kern w:val="2"/>
          <w:sz w:val="21"/>
          <w:u w:val="single"/>
          <w:lang w:eastAsia="en-US"/>
        </w:rPr>
        <w:sym w:font="Symbol" w:char="f020"/>
        <w:sym w:font="Symbol" w:char="f020"/>
      </w:r>
      <w:r>
        <w:rPr>
          <w:rFonts w:eastAsia="Symbol" w:cs="Symbol" w:ascii="Symbol" w:hAnsi="Symbol"/>
          <w:spacing w:val="-2"/>
          <w:kern w:val="2"/>
          <w:sz w:val="21"/>
          <w:u w:val="single"/>
        </w:rPr>
        <w:sym w:font="Symbol" w:char="f02d"/>
        <w:sym w:font="Symbol" w:char="f020"/>
      </w:r>
      <w:r>
        <w:rPr>
          <w:spacing w:val="-2"/>
          <w:kern w:val="2"/>
          <w:sz w:val="21"/>
          <w:lang w:eastAsia="en-US"/>
        </w:rPr>
        <w:tab/>
      </w:r>
      <w:r>
        <w:rPr>
          <w:spacing w:val="-2"/>
          <w:kern w:val="2"/>
          <w:sz w:val="21"/>
          <w:u w:val="single"/>
        </w:rPr>
        <w:tab/>
        <w:t>6,771</w:t>
      </w:r>
      <w:r>
        <w:rPr>
          <w:rFonts w:eastAsia="Symbol" w:cs="Symbol" w:ascii="Symbol" w:hAnsi="Symbol"/>
          <w:spacing w:val="-2"/>
          <w:kern w:val="2"/>
          <w:sz w:val="21"/>
        </w:rPr>
        <w:sym w:font="Symbol" w:char="f020"/>
        <w:sym w:font="Symbol" w:char="f020"/>
      </w:r>
    </w:p>
    <w:p>
      <w:pPr>
        <w:pStyle w:val="Normal"/>
        <w:tabs>
          <w:tab w:val="left" w:pos="259" w:leader="none"/>
          <w:tab w:val="left" w:pos="540" w:leader="none"/>
          <w:tab w:val="left" w:pos="720" w:leader="none"/>
          <w:tab w:val="left" w:pos="6840" w:leader="dot"/>
          <w:tab w:val="left" w:pos="7020" w:leader="none"/>
          <w:tab w:val="decimal" w:pos="8100" w:leader="none"/>
          <w:tab w:val="decimal" w:pos="8280" w:leader="none"/>
          <w:tab w:val="decimal" w:pos="9360" w:leader="none"/>
        </w:tabs>
        <w:suppressAutoHyphens w:val="true"/>
        <w:jc w:val="both"/>
        <w:rPr/>
      </w:pPr>
      <w:r>
        <w:rPr>
          <w:spacing w:val="-2"/>
          <w:kern w:val="2"/>
          <w:sz w:val="21"/>
        </w:rPr>
        <w:t>Net Cash Provided By (Used In) Financing Activities</w:t>
        <w:tab/>
        <w:tab/>
      </w:r>
      <w:r>
        <w:rPr>
          <w:spacing w:val="-2"/>
          <w:kern w:val="2"/>
          <w:sz w:val="21"/>
          <w:u w:val="single"/>
        </w:rPr>
        <w:tab/>
        <w:t>19,209</w:t>
      </w:r>
      <w:r>
        <w:rPr>
          <w:spacing w:val="-2"/>
          <w:kern w:val="2"/>
          <w:sz w:val="21"/>
        </w:rPr>
        <w:tab/>
      </w:r>
      <w:r>
        <w:rPr>
          <w:spacing w:val="-2"/>
          <w:kern w:val="2"/>
          <w:sz w:val="21"/>
          <w:u w:val="single"/>
        </w:rPr>
        <w:tab/>
        <w:t>(10,218</w:t>
      </w:r>
      <w:r>
        <w:rPr>
          <w:spacing w:val="-2"/>
          <w:kern w:val="2"/>
          <w:sz w:val="21"/>
        </w:rPr>
        <w:t>)</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exact" w:line="180"/>
        <w:jc w:val="both"/>
        <w:rPr>
          <w:spacing w:val="-2"/>
          <w:kern w:val="2"/>
          <w:sz w:val="21"/>
        </w:rPr>
      </w:pPr>
      <w:r>
        <w:rPr>
          <w:spacing w:val="-2"/>
          <w:kern w:val="2"/>
          <w:sz w:val="21"/>
        </w:rPr>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auto" w:line="204"/>
        <w:jc w:val="both"/>
        <w:rPr>
          <w:spacing w:val="-2"/>
          <w:kern w:val="2"/>
          <w:sz w:val="21"/>
        </w:rPr>
      </w:pPr>
      <w:r>
        <w:rPr>
          <w:spacing w:val="-2"/>
          <w:kern w:val="2"/>
          <w:sz w:val="21"/>
        </w:rPr>
        <w:t>Increase (Decrease) In Cash and Cash Equivalents</w:t>
        <w:tab/>
        <w:tab/>
        <w:tab/>
        <w:t>(50,686)</w:t>
        <w:tab/>
        <w:tab/>
        <w:t>(12,752)</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exact" w:line="180"/>
        <w:jc w:val="both"/>
        <w:rPr>
          <w:spacing w:val="-2"/>
          <w:kern w:val="2"/>
          <w:sz w:val="21"/>
        </w:rPr>
      </w:pPr>
      <w:r>
        <w:rPr>
          <w:spacing w:val="-2"/>
          <w:kern w:val="2"/>
          <w:sz w:val="21"/>
        </w:rPr>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auto" w:line="204"/>
        <w:jc w:val="both"/>
        <w:rPr>
          <w:spacing w:val="-2"/>
          <w:kern w:val="2"/>
          <w:sz w:val="21"/>
        </w:rPr>
      </w:pPr>
      <w:r>
        <w:rPr>
          <w:spacing w:val="-2"/>
          <w:kern w:val="2"/>
          <w:sz w:val="21"/>
        </w:rPr>
        <w:t>Cash and Cash Equivalents, Beginning of Period</w:t>
        <w:tab/>
        <w:tab/>
      </w:r>
      <w:r>
        <w:rPr>
          <w:spacing w:val="-2"/>
          <w:kern w:val="2"/>
          <w:sz w:val="21"/>
          <w:u w:val="single"/>
        </w:rPr>
        <w:tab/>
        <w:t>54,230</w:t>
      </w:r>
      <w:r>
        <w:rPr>
          <w:spacing w:val="-2"/>
          <w:kern w:val="2"/>
          <w:sz w:val="21"/>
        </w:rPr>
        <w:tab/>
      </w:r>
      <w:r>
        <w:rPr>
          <w:spacing w:val="-2"/>
          <w:kern w:val="2"/>
          <w:sz w:val="21"/>
          <w:u w:val="single"/>
        </w:rPr>
        <w:tab/>
        <w:t>17,525</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exact" w:line="180"/>
        <w:jc w:val="both"/>
        <w:rPr>
          <w:spacing w:val="-2"/>
          <w:kern w:val="2"/>
          <w:sz w:val="21"/>
        </w:rPr>
      </w:pPr>
      <w:r>
        <w:rPr>
          <w:spacing w:val="-2"/>
          <w:kern w:val="2"/>
          <w:sz w:val="21"/>
        </w:rPr>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auto" w:line="204"/>
        <w:jc w:val="both"/>
        <w:rPr>
          <w:spacing w:val="-2"/>
          <w:kern w:val="2"/>
          <w:sz w:val="21"/>
        </w:rPr>
      </w:pPr>
      <w:r>
        <w:rPr>
          <w:spacing w:val="-2"/>
          <w:kern w:val="2"/>
          <w:sz w:val="21"/>
        </w:rPr>
        <w:t>Cash and Cash Equivalents, End of Period</w:t>
        <w:tab/>
        <w:tab/>
      </w:r>
      <w:r>
        <w:rPr>
          <w:spacing w:val="-2"/>
          <w:kern w:val="2"/>
          <w:sz w:val="21"/>
          <w:u w:val="double"/>
        </w:rPr>
        <w:t>$</w:t>
        <w:tab/>
        <w:t>3,544</w:t>
      </w:r>
      <w:r>
        <w:rPr>
          <w:spacing w:val="-2"/>
          <w:kern w:val="2"/>
          <w:sz w:val="21"/>
        </w:rPr>
        <w:tab/>
      </w:r>
      <w:r>
        <w:rPr>
          <w:spacing w:val="-2"/>
          <w:kern w:val="2"/>
          <w:sz w:val="21"/>
          <w:u w:val="double"/>
        </w:rPr>
        <w:t>$</w:t>
        <w:tab/>
        <w:t>4,773</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Supplemental Cash Flow Information:</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 xml:space="preserve">Interest paid </w:t>
        <w:tab/>
        <w:tab/>
      </w:r>
      <w:r>
        <w:rPr>
          <w:spacing w:val="-2"/>
          <w:kern w:val="2"/>
          <w:sz w:val="21"/>
          <w:u w:val="double"/>
        </w:rPr>
        <w:t>$</w:t>
        <w:tab/>
        <w:t>408</w:t>
      </w:r>
      <w:r>
        <w:rPr>
          <w:spacing w:val="-2"/>
          <w:kern w:val="2"/>
          <w:sz w:val="21"/>
        </w:rPr>
        <w:tab/>
      </w:r>
      <w:r>
        <w:rPr>
          <w:spacing w:val="-2"/>
          <w:kern w:val="2"/>
          <w:sz w:val="21"/>
          <w:u w:val="double"/>
        </w:rPr>
        <w:t>$</w:t>
        <w:tab/>
        <w:t>986</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exact" w:line="160"/>
        <w:jc w:val="both"/>
        <w:rPr>
          <w:spacing w:val="-2"/>
          <w:kern w:val="2"/>
          <w:sz w:val="21"/>
        </w:rPr>
      </w:pPr>
      <w:r>
        <w:rPr>
          <w:spacing w:val="-2"/>
          <w:kern w:val="2"/>
          <w:sz w:val="21"/>
        </w:rPr>
      </w:r>
    </w:p>
    <w:p>
      <w:pPr>
        <w:pStyle w:val="BodyText2"/>
        <w:tabs>
          <w:tab w:val="clear" w:pos="355"/>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rPr>
          <w:spacing w:val="-2"/>
          <w:kern w:val="2"/>
        </w:rPr>
      </w:pPr>
      <w:r>
        <w:rPr>
          <w:spacing w:val="-2"/>
          <w:kern w:val="2"/>
        </w:rPr>
        <w:tab/>
        <w:t>The accompanying notes are an integral part of these condensed consolidated financial statements.</w:t>
      </w:r>
      <w:r>
        <w:br w:type="page"/>
      </w:r>
    </w:p>
    <w:p>
      <w:pPr>
        <w:pStyle w:val="Normal"/>
        <w:tabs>
          <w:tab w:val="clear" w:pos="720"/>
          <w:tab w:val="center" w:pos="4680" w:leader="none"/>
        </w:tabs>
        <w:suppressAutoHyphens w:val="true"/>
        <w:jc w:val="both"/>
        <w:rPr>
          <w:b/>
          <w:spacing w:val="-2"/>
          <w:kern w:val="2"/>
          <w:sz w:val="21"/>
        </w:rPr>
      </w:pPr>
      <w:r>
        <w:rPr>
          <w:b/>
          <w:spacing w:val="-2"/>
          <w:kern w:val="2"/>
          <w:sz w:val="21"/>
        </w:rPr>
        <w:tab/>
        <w:t>EOTT ENERGY PARTNERS, L.P.</w:t>
      </w:r>
    </w:p>
    <w:p>
      <w:pPr>
        <w:pStyle w:val="Normal"/>
        <w:tabs>
          <w:tab w:val="clear" w:pos="720"/>
          <w:tab w:val="center" w:pos="4680" w:leader="none"/>
        </w:tabs>
        <w:suppressAutoHyphens w:val="true"/>
        <w:jc w:val="both"/>
        <w:rPr>
          <w:b/>
          <w:spacing w:val="-2"/>
          <w:kern w:val="2"/>
          <w:sz w:val="21"/>
        </w:rPr>
      </w:pPr>
      <w:r>
        <w:rPr>
          <w:b/>
          <w:spacing w:val="-2"/>
          <w:kern w:val="2"/>
          <w:sz w:val="21"/>
        </w:rPr>
        <w:tab/>
        <w:t>CONDENSED CONSOLIDATED STATEMENT OF PARTNERS’ CAPITAL</w:t>
      </w:r>
    </w:p>
    <w:p>
      <w:pPr>
        <w:pStyle w:val="Normal"/>
        <w:tabs>
          <w:tab w:val="clear" w:pos="720"/>
          <w:tab w:val="center" w:pos="4680" w:leader="none"/>
        </w:tabs>
        <w:suppressAutoHyphens w:val="true"/>
        <w:jc w:val="both"/>
        <w:rPr>
          <w:b/>
          <w:i/>
          <w:i/>
          <w:spacing w:val="-2"/>
          <w:kern w:val="2"/>
          <w:sz w:val="21"/>
        </w:rPr>
      </w:pPr>
      <w:r>
        <w:rPr>
          <w:b/>
          <w:i/>
          <w:spacing w:val="-2"/>
          <w:kern w:val="2"/>
          <w:sz w:val="21"/>
        </w:rPr>
        <w:tab/>
        <w:t>(In Thousands)</w:t>
      </w:r>
    </w:p>
    <w:p>
      <w:pPr>
        <w:pStyle w:val="Normal"/>
        <w:tabs>
          <w:tab w:val="clear" w:pos="720"/>
          <w:tab w:val="center" w:pos="4680" w:leader="none"/>
        </w:tabs>
        <w:suppressAutoHyphens w:val="true"/>
        <w:jc w:val="both"/>
        <w:rPr>
          <w:i/>
          <w:i/>
          <w:spacing w:val="-2"/>
          <w:kern w:val="2"/>
          <w:sz w:val="21"/>
        </w:rPr>
      </w:pPr>
      <w:r>
        <w:rPr>
          <w:b/>
          <w:i/>
          <w:spacing w:val="-2"/>
          <w:kern w:val="2"/>
          <w:sz w:val="21"/>
        </w:rPr>
        <w:tab/>
        <w:t>(Unaudited)</w:t>
      </w:r>
    </w:p>
    <w:p>
      <w:pPr>
        <w:pStyle w:val="Normal"/>
        <w:tabs>
          <w:tab w:val="left" w:pos="259" w:leader="none"/>
          <w:tab w:val="left" w:pos="540" w:leader="none"/>
          <w:tab w:val="left" w:pos="720" w:leader="none"/>
          <w:tab w:val="left" w:pos="6826" w:leader="none"/>
          <w:tab w:val="decimal" w:pos="7949" w:leader="none"/>
          <w:tab w:val="left" w:pos="8208" w:leader="none"/>
          <w:tab w:val="decimal" w:pos="9245" w:leader="none"/>
        </w:tabs>
        <w:suppressAutoHyphens w:val="true"/>
        <w:jc w:val="both"/>
        <w:rPr>
          <w:i/>
          <w:i/>
          <w:spacing w:val="-2"/>
          <w:kern w:val="2"/>
          <w:sz w:val="21"/>
        </w:rPr>
      </w:pPr>
      <w:r>
        <w:rPr>
          <w:i/>
          <w:spacing w:val="-2"/>
          <w:kern w:val="2"/>
          <w:sz w:val="21"/>
        </w:rPr>
      </w:r>
    </w:p>
    <w:p>
      <w:pPr>
        <w:pStyle w:val="Normal"/>
        <w:tabs>
          <w:tab w:val="left" w:pos="259" w:leader="none"/>
          <w:tab w:val="left" w:pos="540" w:leader="none"/>
          <w:tab w:val="left" w:pos="720" w:leader="none"/>
          <w:tab w:val="left" w:pos="6826" w:leader="none"/>
          <w:tab w:val="decimal" w:pos="7949" w:leader="none"/>
          <w:tab w:val="left" w:pos="8208" w:leader="none"/>
          <w:tab w:val="decimal" w:pos="9245" w:leader="none"/>
        </w:tabs>
        <w:suppressAutoHyphens w:val="true"/>
        <w:jc w:val="both"/>
        <w:rPr>
          <w:spacing w:val="-2"/>
          <w:kern w:val="2"/>
          <w:sz w:val="21"/>
        </w:rPr>
      </w:pPr>
      <w:r>
        <w:rPr>
          <w:spacing w:val="-2"/>
          <w:kern w:val="2"/>
          <w:sz w:val="21"/>
        </w:rPr>
      </w:r>
    </w:p>
    <w:p>
      <w:pPr>
        <w:pStyle w:val="Normal"/>
        <w:tabs>
          <w:tab w:val="left" w:pos="259" w:leader="none"/>
          <w:tab w:val="left" w:pos="540" w:leader="none"/>
          <w:tab w:val="left" w:pos="720" w:leader="none"/>
          <w:tab w:val="left" w:pos="6826" w:leader="none"/>
          <w:tab w:val="decimal" w:pos="7949" w:leader="none"/>
          <w:tab w:val="left" w:pos="8208" w:leader="none"/>
          <w:tab w:val="decimal" w:pos="9245" w:leader="none"/>
        </w:tabs>
        <w:suppressAutoHyphens w:val="true"/>
        <w:jc w:val="both"/>
        <w:rPr>
          <w:spacing w:val="-2"/>
          <w:kern w:val="2"/>
          <w:sz w:val="21"/>
        </w:rPr>
      </w:pPr>
      <w:r>
        <w:rPr>
          <w:spacing w:val="-2"/>
          <w:kern w:val="2"/>
          <w:sz w:val="21"/>
        </w:rPr>
      </w:r>
    </w:p>
    <w:p>
      <w:pPr>
        <w:pStyle w:val="Heading1"/>
        <w:ind w:hanging="0" w:start="0"/>
        <w:rPr/>
      </w:pPr>
      <w:r>
        <w:rPr/>
        <w:tab/>
        <w:tab/>
        <w:t>Common</w:t>
        <w:tab/>
        <w:tab/>
        <w:tab/>
        <w:t>Subordinated</w:t>
        <w:tab/>
        <w:tab/>
        <w:tab/>
        <w:t>General</w:t>
        <w:tab/>
      </w:r>
    </w:p>
    <w:p>
      <w:pPr>
        <w:pStyle w:val="Normal"/>
        <w:tabs>
          <w:tab w:val="clear" w:pos="720"/>
          <w:tab w:val="left" w:pos="4680" w:leader="none"/>
          <w:tab w:val="center" w:pos="5220" w:leader="none"/>
          <w:tab w:val="left" w:pos="5760" w:leader="none"/>
          <w:tab w:val="left" w:pos="6120" w:leader="none"/>
          <w:tab w:val="center" w:pos="6660" w:leader="none"/>
          <w:tab w:val="decimal" w:pos="7200" w:leader="none"/>
          <w:tab w:val="left" w:pos="7560" w:leader="none"/>
          <w:tab w:val="center" w:pos="8100" w:leader="none"/>
          <w:tab w:val="decimal" w:pos="8640" w:leader="none"/>
          <w:tab w:val="left" w:pos="9000" w:leader="none"/>
          <w:tab w:val="center" w:pos="9450" w:leader="none"/>
          <w:tab w:val="decimal" w:pos="9900" w:leader="none"/>
        </w:tabs>
        <w:suppressAutoHyphens w:val="true"/>
        <w:spacing w:lineRule="auto" w:line="216"/>
        <w:jc w:val="both"/>
        <w:rPr/>
      </w:pPr>
      <w:r>
        <w:rPr>
          <w:b/>
          <w:spacing w:val="-2"/>
          <w:kern w:val="2"/>
          <w:sz w:val="17"/>
        </w:rPr>
        <w:tab/>
      </w:r>
      <w:r>
        <w:rPr>
          <w:b/>
          <w:spacing w:val="-2"/>
          <w:kern w:val="2"/>
          <w:sz w:val="17"/>
          <w:u w:val="single"/>
        </w:rPr>
        <w:tab/>
        <w:t>Unitholders</w:t>
        <w:tab/>
      </w:r>
      <w:r>
        <w:rPr>
          <w:b/>
          <w:spacing w:val="-2"/>
          <w:kern w:val="2"/>
          <w:sz w:val="17"/>
        </w:rPr>
        <w:tab/>
      </w:r>
      <w:r>
        <w:rPr>
          <w:b/>
          <w:spacing w:val="-2"/>
          <w:kern w:val="2"/>
          <w:sz w:val="17"/>
          <w:u w:val="single"/>
        </w:rPr>
        <w:tab/>
        <w:t>Unitholders</w:t>
        <w:tab/>
      </w:r>
      <w:r>
        <w:rPr>
          <w:b/>
          <w:spacing w:val="-2"/>
          <w:kern w:val="2"/>
          <w:sz w:val="17"/>
        </w:rPr>
        <w:tab/>
      </w:r>
      <w:r>
        <w:rPr>
          <w:b/>
          <w:spacing w:val="-2"/>
          <w:kern w:val="2"/>
          <w:sz w:val="17"/>
          <w:u w:val="single"/>
        </w:rPr>
        <w:tab/>
        <w:t>Partner</w:t>
        <w:tab/>
      </w:r>
    </w:p>
    <w:p>
      <w:pPr>
        <w:pStyle w:val="Normal"/>
        <w:tabs>
          <w:tab w:val="clear" w:pos="720"/>
          <w:tab w:val="left" w:pos="4500" w:leader="dot"/>
          <w:tab w:val="left" w:pos="4680" w:leader="none"/>
          <w:tab w:val="decimal" w:pos="5760" w:leader="none"/>
          <w:tab w:val="left" w:pos="6120" w:leader="none"/>
          <w:tab w:val="decimal" w:pos="7200" w:leader="none"/>
          <w:tab w:val="left" w:pos="7560" w:leader="none"/>
          <w:tab w:val="decimal" w:pos="8640" w:leader="none"/>
        </w:tabs>
        <w:suppressAutoHyphens w:val="true"/>
        <w:jc w:val="both"/>
        <w:rPr>
          <w:b/>
          <w:spacing w:val="-2"/>
          <w:kern w:val="2"/>
          <w:sz w:val="21"/>
          <w:u w:val="single"/>
        </w:rPr>
      </w:pPr>
      <w:r>
        <w:rPr>
          <w:b/>
          <w:spacing w:val="-2"/>
          <w:kern w:val="2"/>
          <w:sz w:val="21"/>
          <w:u w:val="single"/>
        </w:rPr>
      </w:r>
    </w:p>
    <w:p>
      <w:pPr>
        <w:pStyle w:val="Normal"/>
        <w:tabs>
          <w:tab w:val="clear" w:pos="720"/>
          <w:tab w:val="left" w:pos="4500" w:leader="dot"/>
          <w:tab w:val="left" w:pos="4680" w:leader="none"/>
          <w:tab w:val="decimal" w:pos="5760" w:leader="none"/>
          <w:tab w:val="left" w:pos="6120" w:leader="none"/>
          <w:tab w:val="decimal" w:pos="7200" w:leader="none"/>
          <w:tab w:val="left" w:pos="7560" w:leader="none"/>
          <w:tab w:val="decimal" w:pos="8640" w:leader="none"/>
        </w:tabs>
        <w:suppressAutoHyphens w:val="true"/>
        <w:jc w:val="both"/>
        <w:rPr>
          <w:spacing w:val="-2"/>
          <w:kern w:val="2"/>
          <w:sz w:val="21"/>
          <w:u w:val="single"/>
        </w:rPr>
      </w:pPr>
      <w:r>
        <w:rPr>
          <w:spacing w:val="-2"/>
          <w:kern w:val="2"/>
          <w:sz w:val="21"/>
          <w:u w:val="single"/>
        </w:rPr>
      </w:r>
    </w:p>
    <w:p>
      <w:pPr>
        <w:pStyle w:val="Normal"/>
        <w:tabs>
          <w:tab w:val="clear" w:pos="720"/>
          <w:tab w:val="left" w:pos="4500" w:leader="dot"/>
          <w:tab w:val="left" w:pos="4680" w:leader="none"/>
          <w:tab w:val="decimal" w:pos="5760" w:leader="none"/>
          <w:tab w:val="left" w:pos="6120" w:leader="none"/>
          <w:tab w:val="decimal" w:pos="7200" w:leader="none"/>
          <w:tab w:val="left" w:pos="7560" w:leader="none"/>
          <w:tab w:val="decimal" w:pos="8640" w:leader="none"/>
          <w:tab w:val="left" w:pos="9000" w:leader="none"/>
          <w:tab w:val="decimal" w:pos="9900" w:leader="none"/>
        </w:tabs>
        <w:suppressAutoHyphens w:val="true"/>
        <w:jc w:val="both"/>
        <w:rPr>
          <w:spacing w:val="-2"/>
          <w:kern w:val="2"/>
          <w:sz w:val="21"/>
        </w:rPr>
      </w:pPr>
      <w:r>
        <w:rPr>
          <w:spacing w:val="-2"/>
          <w:kern w:val="2"/>
          <w:sz w:val="21"/>
        </w:rPr>
        <w:t>Partners’ Capital at December 31, 2000</w:t>
        <w:tab/>
        <w:tab/>
        <w:t>$</w:t>
        <w:tab/>
        <w:t>47,581</w:t>
        <w:tab/>
        <w:t>$</w:t>
        <w:tab/>
        <w:t>41,496</w:t>
        <w:tab/>
        <w:t>$</w:t>
        <w:tab/>
        <w:t>7,287</w:t>
      </w:r>
    </w:p>
    <w:p>
      <w:pPr>
        <w:pStyle w:val="BodyTextIndent"/>
        <w:tabs>
          <w:tab w:val="clear" w:pos="346"/>
          <w:tab w:val="clear" w:pos="1710"/>
          <w:tab w:val="clear" w:pos="8294"/>
          <w:tab w:val="left" w:pos="4500" w:leader="dot"/>
          <w:tab w:val="left" w:pos="4680" w:leader="none"/>
          <w:tab w:val="decimal" w:pos="5760" w:leader="none"/>
          <w:tab w:val="left" w:pos="6120" w:leader="none"/>
          <w:tab w:val="decimal" w:pos="7200" w:leader="none"/>
          <w:tab w:val="left" w:pos="7560" w:leader="none"/>
          <w:tab w:val="decimal" w:pos="8640" w:leader="none"/>
          <w:tab w:val="left" w:pos="9000" w:leader="none"/>
          <w:tab w:val="decimal" w:pos="9900" w:leader="none"/>
        </w:tabs>
        <w:spacing w:lineRule="auto" w:line="240" w:before="240" w:after="0"/>
        <w:ind w:hanging="0" w:start="0" w:end="0"/>
        <w:rPr/>
      </w:pPr>
      <w:r>
        <w:rPr/>
        <w:t>Net income</w:t>
        <w:tab/>
        <w:tab/>
        <w:tab/>
        <w:t>4,180</w:t>
        <w:tab/>
        <w:tab/>
        <w:t>2,035</w:t>
        <w:tab/>
        <w:tab/>
        <w:t>127</w:t>
        <w:tab/>
        <w:tab/>
        <w:tab/>
      </w:r>
    </w:p>
    <w:p>
      <w:pPr>
        <w:pStyle w:val="Normal"/>
        <w:tabs>
          <w:tab w:val="clear" w:pos="720"/>
          <w:tab w:val="left" w:pos="4500" w:leader="dot"/>
          <w:tab w:val="left" w:pos="4680" w:leader="none"/>
          <w:tab w:val="decimal" w:pos="5760" w:leader="none"/>
          <w:tab w:val="left" w:pos="6120" w:leader="none"/>
          <w:tab w:val="decimal" w:pos="7200" w:leader="none"/>
          <w:tab w:val="left" w:pos="7560" w:leader="none"/>
          <w:tab w:val="decimal" w:pos="8640" w:leader="none"/>
          <w:tab w:val="left" w:pos="9000" w:leader="none"/>
          <w:tab w:val="decimal" w:pos="9900" w:leader="none"/>
        </w:tabs>
        <w:suppressAutoHyphens w:val="true"/>
        <w:spacing w:before="240" w:after="0"/>
        <w:jc w:val="both"/>
        <w:rPr>
          <w:spacing w:val="-2"/>
          <w:kern w:val="2"/>
          <w:sz w:val="21"/>
        </w:rPr>
      </w:pPr>
      <w:r>
        <w:rPr>
          <w:spacing w:val="-2"/>
          <w:kern w:val="2"/>
          <w:sz w:val="21"/>
        </w:rPr>
        <w:t>Cash distributions</w:t>
        <w:tab/>
        <w:tab/>
      </w:r>
      <w:r>
        <w:rPr>
          <w:spacing w:val="-2"/>
          <w:kern w:val="2"/>
          <w:sz w:val="21"/>
          <w:u w:val="single"/>
        </w:rPr>
        <w:tab/>
        <w:t>(8,776</w:t>
      </w:r>
      <w:r>
        <w:rPr>
          <w:spacing w:val="-2"/>
          <w:kern w:val="2"/>
          <w:sz w:val="21"/>
        </w:rPr>
        <w:t>)</w:t>
        <w:tab/>
      </w:r>
      <w:r>
        <w:rPr>
          <w:spacing w:val="-2"/>
          <w:kern w:val="2"/>
          <w:sz w:val="21"/>
          <w:u w:val="single"/>
        </w:rPr>
        <w:tab/>
      </w:r>
      <w:r>
        <w:rPr>
          <w:rFonts w:eastAsia="Symbol" w:cs="Symbol" w:ascii="Symbol" w:hAnsi="Symbol"/>
          <w:spacing w:val="-2"/>
          <w:kern w:val="2"/>
          <w:sz w:val="21"/>
          <w:u w:val="single"/>
        </w:rPr>
        <w:sym w:font="Symbol" w:char="f020"/>
        <w:sym w:font="Symbol" w:char="f020"/>
      </w:r>
      <w:r>
        <w:rPr>
          <w:rFonts w:eastAsia="Symbol" w:cs="Symbol" w:ascii="Symbol" w:hAnsi="Symbol"/>
          <w:spacing w:val="-2"/>
          <w:kern w:val="2"/>
          <w:u w:val="single"/>
        </w:rPr>
        <w:sym w:font="Symbol" w:char="f020"/>
        <w:sym w:font="Symbol" w:char="f020"/>
      </w:r>
      <w:r>
        <w:rPr>
          <w:spacing w:val="-2"/>
          <w:kern w:val="2"/>
          <w:u w:val="single"/>
        </w:rPr>
        <w:t>(1,800</w:t>
      </w:r>
      <w:r>
        <w:rPr>
          <w:spacing w:val="-2"/>
          <w:kern w:val="2"/>
        </w:rPr>
        <w:t>)</w:t>
      </w:r>
      <w:r>
        <w:rPr>
          <w:spacing w:val="-2"/>
          <w:kern w:val="2"/>
          <w:sz w:val="21"/>
        </w:rPr>
        <w:tab/>
      </w:r>
      <w:r>
        <w:rPr>
          <w:spacing w:val="-2"/>
          <w:kern w:val="2"/>
          <w:sz w:val="21"/>
          <w:u w:val="single"/>
        </w:rPr>
        <w:tab/>
      </w:r>
      <w:r>
        <w:rPr>
          <w:rFonts w:eastAsia="Symbol" w:cs="Symbol" w:ascii="Symbol" w:hAnsi="Symbol"/>
          <w:spacing w:val="-2"/>
          <w:kern w:val="2"/>
          <w:u w:val="single"/>
        </w:rPr>
        <w:sym w:font="Symbol" w:char="f020"/>
        <w:sym w:font="Symbol" w:char="f020"/>
      </w:r>
      <w:r>
        <w:rPr>
          <w:spacing w:val="-2"/>
          <w:kern w:val="2"/>
          <w:u w:val="single"/>
        </w:rPr>
        <w:t>(215</w:t>
      </w:r>
      <w:r>
        <w:rPr>
          <w:spacing w:val="-2"/>
          <w:kern w:val="2"/>
        </w:rPr>
        <w:t>)</w:t>
      </w:r>
    </w:p>
    <w:p>
      <w:pPr>
        <w:pStyle w:val="Normal"/>
        <w:tabs>
          <w:tab w:val="clear" w:pos="720"/>
          <w:tab w:val="left" w:pos="4500" w:leader="dot"/>
          <w:tab w:val="left" w:pos="4680" w:leader="none"/>
          <w:tab w:val="decimal" w:pos="5760" w:leader="none"/>
          <w:tab w:val="left" w:pos="6120" w:leader="none"/>
          <w:tab w:val="decimal" w:pos="7200" w:leader="none"/>
          <w:tab w:val="left" w:pos="7560" w:leader="none"/>
          <w:tab w:val="decimal" w:pos="8640" w:leader="none"/>
          <w:tab w:val="left" w:pos="9000" w:leader="none"/>
          <w:tab w:val="decimal" w:pos="9900" w:leader="none"/>
        </w:tabs>
        <w:suppressAutoHyphens w:val="true"/>
        <w:spacing w:before="240" w:after="0"/>
        <w:jc w:val="both"/>
        <w:rPr>
          <w:spacing w:val="-2"/>
          <w:kern w:val="2"/>
          <w:sz w:val="21"/>
        </w:rPr>
      </w:pPr>
      <w:r>
        <w:rPr>
          <w:spacing w:val="-2"/>
          <w:kern w:val="2"/>
          <w:sz w:val="21"/>
        </w:rPr>
        <w:t>Partners’ Capital at March 31, 2001</w:t>
        <w:tab/>
        <w:tab/>
      </w:r>
      <w:r>
        <w:rPr>
          <w:spacing w:val="-2"/>
          <w:kern w:val="2"/>
          <w:sz w:val="21"/>
          <w:u w:val="double"/>
        </w:rPr>
        <w:t>$</w:t>
        <w:tab/>
        <w:t>42,985</w:t>
      </w:r>
      <w:r>
        <w:rPr>
          <w:spacing w:val="-2"/>
          <w:kern w:val="2"/>
          <w:sz w:val="21"/>
        </w:rPr>
        <w:tab/>
      </w:r>
      <w:r>
        <w:rPr>
          <w:spacing w:val="-2"/>
          <w:kern w:val="2"/>
          <w:sz w:val="21"/>
          <w:u w:val="double"/>
        </w:rPr>
        <w:t>$</w:t>
        <w:tab/>
        <w:t>41,731</w:t>
      </w:r>
      <w:r>
        <w:rPr>
          <w:spacing w:val="-2"/>
          <w:kern w:val="2"/>
          <w:sz w:val="21"/>
        </w:rPr>
        <w:tab/>
      </w:r>
      <w:r>
        <w:rPr>
          <w:spacing w:val="-2"/>
          <w:kern w:val="2"/>
          <w:sz w:val="21"/>
          <w:u w:val="double"/>
        </w:rPr>
        <w:t>$</w:t>
        <w:tab/>
        <w:t>7,199</w:t>
      </w:r>
    </w:p>
    <w:p>
      <w:pPr>
        <w:pStyle w:val="Normal"/>
        <w:tabs>
          <w:tab w:val="clear" w:pos="720"/>
          <w:tab w:val="left" w:pos="4234" w:leader="none"/>
          <w:tab w:val="center" w:pos="4752" w:leader="none"/>
          <w:tab w:val="decimal" w:pos="5184" w:leader="none"/>
          <w:tab w:val="left" w:pos="5530" w:leader="none"/>
          <w:tab w:val="center" w:pos="6048" w:leader="none"/>
          <w:tab w:val="decimal" w:pos="6566" w:leader="none"/>
          <w:tab w:val="left" w:pos="6912" w:leader="none"/>
          <w:tab w:val="center" w:pos="7430" w:leader="none"/>
          <w:tab w:val="decimal" w:pos="7862" w:leader="none"/>
          <w:tab w:val="left" w:pos="8208" w:leader="none"/>
          <w:tab w:val="center" w:pos="8726" w:leader="none"/>
          <w:tab w:val="decimal" w:pos="9180" w:leader="none"/>
        </w:tabs>
        <w:suppressAutoHyphens w:val="true"/>
        <w:jc w:val="both"/>
        <w:rPr>
          <w:spacing w:val="-2"/>
          <w:kern w:val="2"/>
          <w:sz w:val="21"/>
        </w:rPr>
      </w:pPr>
      <w:r>
        <w:rPr>
          <w:spacing w:val="-2"/>
          <w:kern w:val="2"/>
          <w:sz w:val="21"/>
        </w:rPr>
      </w:r>
    </w:p>
    <w:p>
      <w:pPr>
        <w:pStyle w:val="Normal"/>
        <w:tabs>
          <w:tab w:val="clear" w:pos="720"/>
          <w:tab w:val="left" w:pos="4234" w:leader="none"/>
          <w:tab w:val="center" w:pos="4752" w:leader="none"/>
          <w:tab w:val="decimal" w:pos="5184" w:leader="none"/>
          <w:tab w:val="left" w:pos="5530" w:leader="none"/>
          <w:tab w:val="center" w:pos="6048" w:leader="none"/>
          <w:tab w:val="decimal" w:pos="6566" w:leader="none"/>
          <w:tab w:val="left" w:pos="6912" w:leader="none"/>
          <w:tab w:val="center" w:pos="7430" w:leader="none"/>
          <w:tab w:val="decimal" w:pos="7862" w:leader="none"/>
          <w:tab w:val="left" w:pos="8208" w:leader="none"/>
          <w:tab w:val="center" w:pos="8726" w:leader="none"/>
          <w:tab w:val="decimal" w:pos="9180" w:leader="none"/>
        </w:tabs>
        <w:suppressAutoHyphens w:val="true"/>
        <w:jc w:val="both"/>
        <w:rPr>
          <w:spacing w:val="-2"/>
          <w:kern w:val="2"/>
          <w:sz w:val="21"/>
        </w:rPr>
      </w:pPr>
      <w:r>
        <w:rPr>
          <w:spacing w:val="-2"/>
          <w:kern w:val="2"/>
          <w:sz w:val="21"/>
        </w:rPr>
      </w:r>
    </w:p>
    <w:p>
      <w:pPr>
        <w:pStyle w:val="Normal"/>
        <w:tabs>
          <w:tab w:val="clear" w:pos="720"/>
          <w:tab w:val="center" w:pos="4680" w:leader="none"/>
        </w:tabs>
        <w:suppressAutoHyphens w:val="true"/>
        <w:jc w:val="both"/>
        <w:rPr>
          <w:spacing w:val="-2"/>
          <w:kern w:val="2"/>
          <w:sz w:val="21"/>
        </w:rPr>
      </w:pPr>
      <w:r>
        <w:rPr>
          <w:spacing w:val="-2"/>
          <w:kern w:val="2"/>
          <w:sz w:val="21"/>
        </w:rPr>
        <w:tab/>
        <w:t>The accompanying notes are an integral part of these condensed consolidated financial statements.</w:t>
      </w:r>
    </w:p>
    <w:p>
      <w:pPr>
        <w:sectPr>
          <w:headerReference w:type="default" r:id="rId6"/>
          <w:headerReference w:type="first" r:id="rId7"/>
          <w:footerReference w:type="default" r:id="rId8"/>
          <w:footerReference w:type="first" r:id="rId9"/>
          <w:type w:val="nextPage"/>
          <w:pgSz w:w="12240" w:h="15840"/>
          <w:pgMar w:left="1440" w:right="720" w:gutter="0" w:header="1080" w:top="1440" w:footer="1080" w:bottom="1440"/>
          <w:pgNumType w:fmt="decimal"/>
          <w:formProt w:val="false"/>
          <w:textDirection w:val="lrTb"/>
          <w:docGrid w:type="default" w:linePitch="360" w:charSpace="0"/>
        </w:sectPr>
        <w:pStyle w:val="Normal"/>
        <w:tabs>
          <w:tab w:val="clear" w:pos="720"/>
          <w:tab w:val="center" w:pos="4680" w:leader="none"/>
        </w:tabs>
        <w:suppressAutoHyphens w:val="true"/>
        <w:jc w:val="both"/>
        <w:rPr>
          <w:spacing w:val="-2"/>
          <w:kern w:val="2"/>
          <w:sz w:val="22"/>
        </w:rPr>
      </w:pPr>
      <w:r>
        <w:rPr>
          <w:spacing w:val="-2"/>
          <w:kern w:val="2"/>
          <w:sz w:val="22"/>
        </w:rPr>
      </w:r>
    </w:p>
    <w:p>
      <w:pPr>
        <w:pStyle w:val="Normal"/>
        <w:tabs>
          <w:tab w:val="left" w:pos="0" w:leader="none"/>
          <w:tab w:val="left" w:pos="418" w:leader="none"/>
          <w:tab w:val="left" w:pos="720" w:leader="none"/>
        </w:tabs>
        <w:suppressAutoHyphens w:val="true"/>
        <w:jc w:val="both"/>
        <w:rPr>
          <w:b/>
          <w:spacing w:val="-2"/>
          <w:kern w:val="2"/>
          <w:sz w:val="21"/>
        </w:rPr>
      </w:pPr>
      <w:r>
        <w:rPr>
          <w:b/>
          <w:spacing w:val="-2"/>
          <w:kern w:val="2"/>
          <w:sz w:val="21"/>
        </w:rPr>
      </w:r>
    </w:p>
    <w:p>
      <w:pPr>
        <w:pStyle w:val="Normal"/>
        <w:tabs>
          <w:tab w:val="left" w:pos="0" w:leader="none"/>
          <w:tab w:val="left" w:pos="418" w:leader="none"/>
          <w:tab w:val="left" w:pos="720" w:leader="none"/>
        </w:tabs>
        <w:suppressAutoHyphens w:val="true"/>
        <w:jc w:val="both"/>
        <w:rPr>
          <w:b/>
          <w:spacing w:val="-2"/>
          <w:kern w:val="2"/>
          <w:sz w:val="21"/>
        </w:rPr>
      </w:pPr>
      <w:r>
        <w:rPr>
          <w:b/>
          <w:spacing w:val="-2"/>
          <w:kern w:val="2"/>
          <w:sz w:val="21"/>
        </w:rPr>
      </w:r>
    </w:p>
    <w:p>
      <w:pPr>
        <w:pStyle w:val="Normal"/>
        <w:tabs>
          <w:tab w:val="left" w:pos="0" w:leader="none"/>
          <w:tab w:val="left" w:pos="418" w:leader="none"/>
          <w:tab w:val="left" w:pos="720" w:leader="none"/>
        </w:tabs>
        <w:suppressAutoHyphens w:val="true"/>
        <w:jc w:val="both"/>
        <w:rPr>
          <w:b/>
          <w:spacing w:val="-2"/>
          <w:kern w:val="2"/>
          <w:sz w:val="21"/>
        </w:rPr>
      </w:pPr>
      <w:r>
        <w:rPr>
          <w:b/>
          <w:spacing w:val="-2"/>
          <w:kern w:val="2"/>
          <w:sz w:val="21"/>
        </w:rPr>
        <w:t>1.</w:t>
        <w:tab/>
        <w:t>Basis of Presentation</w:t>
      </w:r>
    </w:p>
    <w:p>
      <w:pPr>
        <w:pStyle w:val="Normal"/>
        <w:tabs>
          <w:tab w:val="clear" w:pos="720"/>
          <w:tab w:val="left" w:pos="360" w:leader="none"/>
        </w:tabs>
        <w:jc w:val="both"/>
        <w:rPr>
          <w:b/>
          <w:spacing w:val="-2"/>
          <w:kern w:val="2"/>
          <w:sz w:val="21"/>
        </w:rPr>
      </w:pPr>
      <w:r>
        <w:rPr>
          <w:b/>
          <w:spacing w:val="-2"/>
          <w:kern w:val="2"/>
          <w:sz w:val="21"/>
        </w:rPr>
      </w:r>
    </w:p>
    <w:p>
      <w:pPr>
        <w:pStyle w:val="Normal"/>
        <w:tabs>
          <w:tab w:val="clear" w:pos="720"/>
          <w:tab w:val="left" w:pos="360" w:leader="none"/>
        </w:tabs>
        <w:jc w:val="both"/>
        <w:rPr>
          <w:sz w:val="21"/>
        </w:rPr>
      </w:pPr>
      <w:r>
        <w:rPr>
          <w:sz w:val="21"/>
        </w:rPr>
        <w:tab/>
        <w:t>EOTT Energy Partners, L.P. is a Delaware limited partnership which operates through its affiliated limited partnerships, EOTT Energy Operating Limited Partnership, EOTT Energy Canada Limited Partnership and Energy Partners, L.P. and its affiliated limited partnerships.  EOTT Energy Corp. serves as the General Partner to the Partnership and its related operating limited partnerships.  At March 31, 2001, the General Partner owned an approximate 2% general partner interest in the Partnership and an approximate 25% subordinated limited partner interest.  Enron Corp. ("Enron"), through its ownership of EOTT Common Units, holds an approximate 12% interest in the Partnership.  The accompanying condensed consolidated financial statements and related notes present the financial position as of March 31, 2001 and December 31, 2000 for the Partnership, the results of operations and cash flows for the three months ended March 31, 2001 and 2000, and changes in partners’ capital for the three months ended March 31, 2001.  For the three months ended March 31, 2001 and 2000, traditional net income and comprehensive income are the same.</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The financial statements included herein have been prepared by the Partnership without audit pursuant to the rules and regulations of the Securities and Exchange Commission (“SEC”).  Accordingly, they reflect all adjustments (which consist solely of normal recurring adjustments) which are, in the opinion of management, necessary for a fair presentation of the financial results for interim periods.  Certain information and notes normally included in financial statements prepared in accordance with generally accepted accounting principles have been condensed or omitted pursuant to such rules and regulations.  However, the Partnership believes that the disclosures are adequate to make the information presented not misleading.  These financial statements should be read in conjunction with the financial statements and notes thereto included in the Partnership’s Annual Report on Form 10–K for the year ended December 31, 2000 filed with the SEC.</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The preparation of these financial statements required the use of certain estimates by management in determining the entity’s assets, liabilities, reserves and expenses.  Actual results may differ from these estimates.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Certain reclassifications have been made to prior period amounts to conform with the current period presentation.</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b/>
          <w:sz w:val="21"/>
        </w:rPr>
      </w:pPr>
      <w:r>
        <w:rPr>
          <w:b/>
          <w:sz w:val="21"/>
        </w:rPr>
        <w:t>2.</w:t>
        <w:tab/>
        <w:t>New Accounting Standards</w:t>
      </w:r>
    </w:p>
    <w:p>
      <w:pPr>
        <w:pStyle w:val="Normal"/>
        <w:tabs>
          <w:tab w:val="clear" w:pos="720"/>
          <w:tab w:val="left" w:pos="360" w:leader="none"/>
        </w:tabs>
        <w:jc w:val="both"/>
        <w:rPr>
          <w:b/>
          <w:sz w:val="21"/>
        </w:rPr>
      </w:pPr>
      <w:r>
        <w:rPr>
          <w:b/>
          <w:sz w:val="21"/>
        </w:rPr>
      </w:r>
    </w:p>
    <w:p>
      <w:pPr>
        <w:pStyle w:val="Normal"/>
        <w:tabs>
          <w:tab w:val="left" w:pos="-1440" w:leader="none"/>
          <w:tab w:val="left" w:pos="-720" w:leader="none"/>
          <w:tab w:val="left" w:pos="0" w:leader="none"/>
          <w:tab w:val="left" w:pos="355" w:leader="none"/>
          <w:tab w:val="left" w:pos="720" w:leader="none"/>
        </w:tabs>
        <w:suppressAutoHyphens w:val="true"/>
        <w:jc w:val="both"/>
        <w:rPr>
          <w:sz w:val="21"/>
        </w:rPr>
      </w:pPr>
      <w:r>
        <w:rPr>
          <w:sz w:val="21"/>
        </w:rPr>
        <w:tab/>
        <w:t>Beginning January 1, 2001, EOTT is reporting derivative activities consistent with Statement of Financial Accounting Standards ("SFAS") No.133, "Accounting for Derivative Instruments and Hedging Activities" as amended by SFAS No. 137, “Accounting for Derivative Instruments and Hedging Activities – Deferral of the Effective Date of FASB Statement No. 133 – An Amendment of FASB Statement No. 133.”  SFAS No. 133 requires that derivative instruments (including certain derivative instruments embedded in other contracts) be recorded in the balance sheet as either an asset or liability measured at its fair value.  The Statement requires that changes in the derivative's fair value be recognized currently in earnings unless specific hedge accounting criteria are met.  Special accounting for qualifying hedges allows a derivative's gains and losses to offset related results on the hedged item in the income statement, and requires that a company must formally document, designate, and assess the effectiveness of transactions that receive hedge accounting.  Under SFAS No. 133, EOTT is required to "mark-to-fair value" all of its derivative instruments at each period end.  This contrasts with pre-2001 accounting principles which generally only required EOTT’s transactions designated as energy trading activities to be marked-to-fair value.  Changes in the market value of EOTT's derivative instruments resulting from the mark-to-fair value process will represent unrealized gains and losses.  Such unrealized gains or losses will change, based on prevailing market prices at each subsequent balance sheet date, until the transaction date occurs.  In general, SFAS No. 133 could result in fluctuations in net income in periods of price volatility.  SFAS No. 133 requires that as of the date of the initial adoption, the difference between the fair value of derivative instruments and the previous carrying amount of those derivatives be recorded in net income or other comprehensive income, as appropriate, as the cumulative effect of a change in accounting principle.  The cumulative effect of adopting SFAS No. 133 effective January 1, 2001 was $1.3 million ($0.05 per diluted Unit) and is reflected as an increase in income in the Consolidated Statement of Operations.</w:t>
      </w:r>
    </w:p>
    <w:p>
      <w:pPr>
        <w:pStyle w:val="Normal"/>
        <w:tabs>
          <w:tab w:val="clear" w:pos="720"/>
          <w:tab w:val="left" w:pos="630" w:leader="none"/>
          <w:tab w:val="left" w:pos="4770" w:leader="dot"/>
          <w:tab w:val="left" w:pos="5040" w:leader="none"/>
          <w:tab w:val="right" w:pos="6120" w:leader="none"/>
          <w:tab w:val="left" w:pos="6480" w:leader="none"/>
          <w:tab w:val="right" w:pos="7560" w:leader="none"/>
          <w:tab w:val="left" w:pos="7920" w:leader="none"/>
          <w:tab w:val="right" w:pos="9000" w:leader="none"/>
        </w:tabs>
        <w:suppressAutoHyphens w:val="true"/>
        <w:jc w:val="both"/>
        <w:rPr>
          <w:sz w:val="21"/>
        </w:rPr>
      </w:pPr>
      <w:r>
        <w:rPr>
          <w:sz w:val="21"/>
        </w:rPr>
      </w:r>
    </w:p>
    <w:p>
      <w:pPr>
        <w:pStyle w:val="Normal"/>
        <w:tabs>
          <w:tab w:val="left" w:pos="-1440" w:leader="none"/>
          <w:tab w:val="left" w:pos="-720" w:leader="none"/>
          <w:tab w:val="left" w:pos="0" w:leader="none"/>
          <w:tab w:val="left" w:pos="355" w:leader="none"/>
          <w:tab w:val="left" w:pos="720" w:leader="none"/>
        </w:tabs>
        <w:suppressAutoHyphens w:val="true"/>
        <w:jc w:val="both"/>
        <w:rPr>
          <w:sz w:val="21"/>
        </w:rPr>
      </w:pPr>
      <w:r>
        <w:rPr>
          <w:sz w:val="21"/>
        </w:rPr>
      </w:r>
    </w:p>
    <w:p>
      <w:pPr>
        <w:pStyle w:val="Normal"/>
        <w:tabs>
          <w:tab w:val="left" w:pos="-1440" w:leader="none"/>
          <w:tab w:val="left" w:pos="-720" w:leader="none"/>
          <w:tab w:val="left" w:pos="0" w:leader="none"/>
          <w:tab w:val="left" w:pos="355" w:leader="none"/>
          <w:tab w:val="left" w:pos="720" w:leader="none"/>
        </w:tabs>
        <w:suppressAutoHyphens w:val="true"/>
        <w:jc w:val="both"/>
        <w:rPr>
          <w:b/>
          <w:sz w:val="21"/>
        </w:rPr>
      </w:pPr>
      <w:r>
        <w:rPr>
          <w:b/>
          <w:sz w:val="21"/>
        </w:rPr>
        <w:t>3.</w:t>
        <w:tab/>
        <w:t>Change in Accounting Principle</w:t>
      </w:r>
    </w:p>
    <w:p>
      <w:pPr>
        <w:pStyle w:val="Normal"/>
        <w:tabs>
          <w:tab w:val="clear" w:pos="720"/>
          <w:tab w:val="left" w:pos="360" w:leader="none"/>
        </w:tabs>
        <w:jc w:val="both"/>
        <w:rPr>
          <w:b/>
          <w:sz w:val="21"/>
        </w:rPr>
      </w:pPr>
      <w:r>
        <w:rPr>
          <w:b/>
          <w:sz w:val="21"/>
        </w:rPr>
      </w:r>
    </w:p>
    <w:p>
      <w:pPr>
        <w:pStyle w:val="Normal"/>
        <w:tabs>
          <w:tab w:val="clear" w:pos="720"/>
          <w:tab w:val="left" w:pos="360" w:leader="none"/>
        </w:tabs>
        <w:jc w:val="both"/>
        <w:rPr>
          <w:sz w:val="21"/>
        </w:rPr>
      </w:pPr>
      <w:r>
        <w:rPr>
          <w:sz w:val="21"/>
        </w:rPr>
        <w:tab/>
        <w:t>In the first quarter of 2001, the Partnership changed its method of accounting for inventories used in its energy trading activities from the average cost method to the fair value method.  The change was made to conform the inventory costing method used for financial reporting purposes to that used by the Partnership to manage it's commercial operations.  Fair value accounting for energy trading inventories is preferable because it better informs users of the financial statements of the Partnership's net commodity price risk with respect to its energy trading activities and it better aligns financial reporting for energy trading inventory with the way in which price risk is measured and managed as part of trading activities.</w:t>
      </w:r>
    </w:p>
    <w:p>
      <w:pPr>
        <w:pStyle w:val="Normal"/>
        <w:jc w:val="both"/>
        <w:rPr>
          <w:sz w:val="21"/>
        </w:rPr>
      </w:pPr>
      <w:r>
        <w:rPr>
          <w:sz w:val="21"/>
        </w:rPr>
      </w:r>
    </w:p>
    <w:p>
      <w:pPr>
        <w:pStyle w:val="Normal"/>
        <w:tabs>
          <w:tab w:val="clear" w:pos="720"/>
          <w:tab w:val="left" w:pos="360" w:leader="none"/>
        </w:tabs>
        <w:jc w:val="both"/>
        <w:rPr>
          <w:sz w:val="21"/>
        </w:rPr>
      </w:pPr>
      <w:r>
        <w:rPr>
          <w:sz w:val="21"/>
        </w:rPr>
        <w:tab/>
        <w:t>The cumulative effect of the change in accounting for inventories as of January 1, 2001 was $0.2 million ($0.01 per diluted Unit) and is reported as a decrease in net income for the first quarter of 2001.  If the new accounting method had been applied retroactively, net income in the first quarter of 2000 would have been $2.3 million or $0.08 per diluted Unit.</w:t>
      </w:r>
    </w:p>
    <w:p>
      <w:pPr>
        <w:pStyle w:val="Normal"/>
        <w:tabs>
          <w:tab w:val="clear" w:pos="720"/>
          <w:tab w:val="left" w:pos="360" w:leader="none"/>
        </w:tabs>
        <w:suppressAutoHyphens w:val="true"/>
        <w:jc w:val="both"/>
        <w:rPr>
          <w:spacing w:val="-2"/>
          <w:kern w:val="2"/>
          <w:sz w:val="21"/>
        </w:rPr>
      </w:pPr>
      <w:r>
        <w:rPr>
          <w:spacing w:val="-2"/>
          <w:kern w:val="2"/>
          <w:sz w:val="21"/>
        </w:rPr>
      </w:r>
    </w:p>
    <w:p>
      <w:pPr>
        <w:pStyle w:val="Normal"/>
        <w:tabs>
          <w:tab w:val="left" w:pos="-1440" w:leader="none"/>
          <w:tab w:val="left" w:pos="-720" w:leader="none"/>
          <w:tab w:val="left" w:pos="0" w:leader="none"/>
          <w:tab w:val="left" w:pos="355" w:leader="none"/>
          <w:tab w:val="left" w:pos="720" w:leader="none"/>
        </w:tabs>
        <w:suppressAutoHyphens w:val="true"/>
        <w:jc w:val="both"/>
        <w:rPr>
          <w:spacing w:val="-2"/>
          <w:kern w:val="2"/>
          <w:sz w:val="21"/>
        </w:rPr>
      </w:pPr>
      <w:r>
        <w:rPr>
          <w:spacing w:val="-2"/>
          <w:kern w:val="2"/>
          <w:sz w:val="21"/>
        </w:rPr>
      </w:r>
    </w:p>
    <w:p>
      <w:pPr>
        <w:pStyle w:val="Normal"/>
        <w:tabs>
          <w:tab w:val="left" w:pos="-1440" w:leader="none"/>
          <w:tab w:val="left" w:pos="-720" w:leader="none"/>
          <w:tab w:val="left" w:pos="0" w:leader="none"/>
          <w:tab w:val="left" w:pos="355" w:leader="none"/>
          <w:tab w:val="left" w:pos="720" w:leader="none"/>
        </w:tabs>
        <w:suppressAutoHyphens w:val="true"/>
        <w:jc w:val="both"/>
        <w:rPr>
          <w:b/>
          <w:sz w:val="21"/>
        </w:rPr>
      </w:pPr>
      <w:r>
        <w:rPr>
          <w:b/>
          <w:sz w:val="21"/>
        </w:rPr>
        <w:t>4.</w:t>
        <w:tab/>
        <w:t>Revenue Recognition</w:t>
      </w:r>
    </w:p>
    <w:p>
      <w:pPr>
        <w:pStyle w:val="Normal"/>
        <w:tabs>
          <w:tab w:val="left" w:pos="-1440" w:leader="none"/>
          <w:tab w:val="left" w:pos="-720" w:leader="none"/>
          <w:tab w:val="left" w:pos="0" w:leader="none"/>
          <w:tab w:val="left" w:pos="355" w:leader="none"/>
          <w:tab w:val="left" w:pos="720" w:leader="none"/>
        </w:tabs>
        <w:suppressAutoHyphens w:val="true"/>
        <w:jc w:val="both"/>
        <w:rPr>
          <w:b/>
          <w:sz w:val="21"/>
        </w:rPr>
      </w:pPr>
      <w:r>
        <w:rPr>
          <w:b/>
          <w:sz w:val="21"/>
        </w:rPr>
      </w:r>
    </w:p>
    <w:p>
      <w:pPr>
        <w:pStyle w:val="Normal"/>
        <w:tabs>
          <w:tab w:val="left" w:pos="-1440" w:leader="none"/>
          <w:tab w:val="left" w:pos="-720" w:leader="none"/>
          <w:tab w:val="left" w:pos="0" w:leader="none"/>
          <w:tab w:val="left" w:pos="355" w:leader="none"/>
          <w:tab w:val="left" w:pos="720" w:leader="none"/>
        </w:tabs>
        <w:suppressAutoHyphens w:val="true"/>
        <w:jc w:val="both"/>
        <w:rPr>
          <w:sz w:val="21"/>
        </w:rPr>
      </w:pPr>
      <w:r>
        <w:rPr>
          <w:sz w:val="21"/>
        </w:rPr>
        <w:tab/>
        <w:t>In general, as EOTT purchases crude oil in its gathering and marketing operations, EOTT establishes a margin by selling crude oil for physical delivery to third party users or by entering into a future delivery obligation with respect to futures contracts on the NYMEX, thereby minimizing or reducing exposure to price fluctuations.  In addition to purchasing crude oil at the wellhead, EOTT purchases crude oil in bulk at major pipeline terminal points and major marketing points and enters into exchange transactions with third parties.  Through these transactions, EOTT seeks to maintain positions that are substantially balanced between crude oil purchases and sales or future delivery obligations.</w:t>
      </w:r>
    </w:p>
    <w:p>
      <w:pPr>
        <w:pStyle w:val="Normal"/>
        <w:tabs>
          <w:tab w:val="left" w:pos="-1440" w:leader="none"/>
          <w:tab w:val="left" w:pos="-720" w:leader="none"/>
          <w:tab w:val="left" w:pos="0" w:leader="none"/>
          <w:tab w:val="left" w:pos="355" w:leader="none"/>
          <w:tab w:val="left" w:pos="720" w:leader="none"/>
        </w:tabs>
        <w:suppressAutoHyphens w:val="true"/>
        <w:jc w:val="both"/>
        <w:rPr>
          <w:sz w:val="21"/>
        </w:rPr>
      </w:pPr>
      <w:r>
        <w:rPr>
          <w:sz w:val="21"/>
        </w:rPr>
      </w:r>
    </w:p>
    <w:p>
      <w:pPr>
        <w:pStyle w:val="Normal"/>
        <w:tabs>
          <w:tab w:val="left" w:pos="-1440" w:leader="none"/>
          <w:tab w:val="left" w:pos="-720" w:leader="none"/>
          <w:tab w:val="left" w:pos="0" w:leader="none"/>
          <w:tab w:val="left" w:pos="355" w:leader="none"/>
          <w:tab w:val="left" w:pos="720" w:leader="none"/>
        </w:tabs>
        <w:suppressAutoHyphens w:val="true"/>
        <w:jc w:val="both"/>
        <w:rPr>
          <w:sz w:val="21"/>
        </w:rPr>
      </w:pPr>
      <w:r>
        <w:rPr>
          <w:sz w:val="21"/>
        </w:rPr>
        <w:tab/>
        <w:t xml:space="preserve">EOTT recognizes revenue on the accrual method, for non-energy trading activities and non-derivative instruments, based on the right to receive payment for goods and services delivered to third parties.  Changes in the market value of transactions designated as energy trading activities in accordance with Emerging Issues Task Force 98-10 and derivative instruments accounted for under SFAS No. 133, are recorded every period as mark-to-market gains or losses.  The majority of EOTT’s operations, with the exception of the Pipeline Operations, are marked to fair value.  Net gains or losses are recognized in revenue on the income statement and price risk management assets and liabilities are recorded in other assets and liabilities on the balance sheet.  </w:t>
      </w:r>
    </w:p>
    <w:p>
      <w:pPr>
        <w:pStyle w:val="Normal"/>
        <w:tabs>
          <w:tab w:val="left" w:pos="-1440" w:leader="none"/>
          <w:tab w:val="left" w:pos="-720" w:leader="none"/>
          <w:tab w:val="left" w:pos="0" w:leader="none"/>
          <w:tab w:val="left" w:pos="355" w:leader="none"/>
          <w:tab w:val="left" w:pos="720" w:leader="none"/>
        </w:tabs>
        <w:suppressAutoHyphens w:val="true"/>
        <w:jc w:val="both"/>
        <w:rPr>
          <w:sz w:val="21"/>
        </w:rPr>
      </w:pPr>
      <w:r>
        <w:rPr>
          <w:sz w:val="21"/>
        </w:rPr>
      </w:r>
    </w:p>
    <w:p>
      <w:pPr>
        <w:pStyle w:val="Normal"/>
        <w:tabs>
          <w:tab w:val="left" w:pos="-1440" w:leader="none"/>
          <w:tab w:val="left" w:pos="-720" w:leader="none"/>
          <w:tab w:val="left" w:pos="0" w:leader="none"/>
          <w:tab w:val="left" w:pos="355" w:leader="none"/>
          <w:tab w:val="left" w:pos="720" w:leader="none"/>
        </w:tabs>
        <w:suppressAutoHyphens w:val="true"/>
        <w:jc w:val="both"/>
        <w:rPr>
          <w:sz w:val="21"/>
        </w:rPr>
      </w:pPr>
      <w:r>
        <w:rPr>
          <w:sz w:val="21"/>
        </w:rPr>
        <w:tab/>
        <w:t>Certain estimates were made in determining the fair value of contracts.  These estimates have been determined by EOTT using available market data and valuation methodologies.  Judgement may be required in interpreting data and the use of different market assumptions or estimation methodologies may affect the estimated fair value amounts.</w:t>
      </w:r>
      <w:r>
        <w:br w:type="page"/>
      </w:r>
    </w:p>
    <w:p>
      <w:pPr>
        <w:pStyle w:val="Normal"/>
        <w:tabs>
          <w:tab w:val="left" w:pos="-1440" w:leader="none"/>
          <w:tab w:val="left" w:pos="-720" w:leader="none"/>
          <w:tab w:val="left" w:pos="0" w:leader="none"/>
          <w:tab w:val="left" w:pos="355" w:leader="none"/>
          <w:tab w:val="left" w:pos="720" w:leader="none"/>
        </w:tabs>
        <w:suppressAutoHyphens w:val="true"/>
        <w:jc w:val="both"/>
        <w:rPr>
          <w:sz w:val="21"/>
        </w:rPr>
      </w:pPr>
      <w:r>
        <w:rPr>
          <w:sz w:val="21"/>
        </w:rPr>
      </w:r>
    </w:p>
    <w:p>
      <w:pPr>
        <w:pStyle w:val="Normal"/>
        <w:tabs>
          <w:tab w:val="left" w:pos="-1440" w:leader="none"/>
          <w:tab w:val="left" w:pos="-720" w:leader="none"/>
          <w:tab w:val="left" w:pos="0" w:leader="none"/>
          <w:tab w:val="left" w:pos="355" w:leader="none"/>
          <w:tab w:val="left" w:pos="720" w:leader="none"/>
        </w:tabs>
        <w:suppressAutoHyphens w:val="true"/>
        <w:jc w:val="both"/>
        <w:rPr>
          <w:sz w:val="21"/>
        </w:rPr>
      </w:pPr>
      <w:r>
        <w:rPr>
          <w:sz w:val="21"/>
        </w:rPr>
      </w:r>
    </w:p>
    <w:p>
      <w:pPr>
        <w:pStyle w:val="Normal"/>
        <w:tabs>
          <w:tab w:val="left" w:pos="360" w:leader="none"/>
          <w:tab w:val="left" w:pos="720" w:leader="none"/>
          <w:tab w:val="right" w:pos="4666" w:leader="none"/>
          <w:tab w:val="left" w:pos="4860" w:leader="none"/>
          <w:tab w:val="decimal" w:pos="5875" w:leader="none"/>
          <w:tab w:val="left" w:pos="6221" w:leader="none"/>
          <w:tab w:val="decimal" w:pos="7258" w:leader="none"/>
        </w:tabs>
        <w:jc w:val="both"/>
        <w:rPr>
          <w:b/>
          <w:spacing w:val="-2"/>
          <w:kern w:val="2"/>
          <w:sz w:val="21"/>
        </w:rPr>
      </w:pPr>
      <w:r>
        <w:rPr>
          <w:b/>
          <w:spacing w:val="-2"/>
          <w:kern w:val="2"/>
          <w:sz w:val="21"/>
        </w:rPr>
        <w:t xml:space="preserve">5. </w:t>
        <w:tab/>
        <w:t>Earnings Per Unit</w:t>
      </w:r>
    </w:p>
    <w:p>
      <w:pPr>
        <w:pStyle w:val="BodyTextIndent"/>
        <w:tabs>
          <w:tab w:val="clear" w:pos="1710"/>
          <w:tab w:val="clear" w:pos="8294"/>
          <w:tab w:val="left" w:pos="346" w:leader="none"/>
        </w:tabs>
        <w:spacing w:lineRule="exact" w:line="240"/>
        <w:ind w:hanging="0" w:start="0" w:end="0"/>
        <w:rPr>
          <w:b/>
          <w:spacing w:val="-2"/>
          <w:kern w:val="2"/>
          <w:sz w:val="21"/>
        </w:rPr>
      </w:pPr>
      <w:r>
        <w:rPr>
          <w:b/>
          <w:spacing w:val="-2"/>
          <w:kern w:val="2"/>
          <w:sz w:val="21"/>
        </w:rPr>
      </w:r>
    </w:p>
    <w:p>
      <w:pPr>
        <w:pStyle w:val="BodyTextIndent"/>
        <w:tabs>
          <w:tab w:val="clear" w:pos="346"/>
          <w:tab w:val="clear" w:pos="1710"/>
          <w:tab w:val="clear" w:pos="8294"/>
          <w:tab w:val="left" w:pos="355" w:leader="none"/>
        </w:tabs>
        <w:spacing w:lineRule="exact" w:line="240"/>
        <w:ind w:hanging="0" w:start="0" w:end="0"/>
        <w:rPr/>
      </w:pPr>
      <w:r>
        <w:rPr/>
        <w:tab/>
        <w:t>Net income shown in the tables below excludes the approximate two percent interest of the General Partner.  Earnings per unit are calculated as follows (in millions, except per unit amounts):</w:t>
      </w:r>
    </w:p>
    <w:p>
      <w:pPr>
        <w:pStyle w:val="Normal"/>
        <w:tabs>
          <w:tab w:val="clear" w:pos="720"/>
          <w:tab w:val="left" w:pos="360" w:leader="none"/>
        </w:tabs>
        <w:jc w:val="both"/>
        <w:rPr>
          <w:b/>
          <w:spacing w:val="-2"/>
          <w:kern w:val="2"/>
          <w:sz w:val="21"/>
        </w:rPr>
      </w:pPr>
      <w:r>
        <w:rPr>
          <w:b/>
          <w:spacing w:val="-2"/>
          <w:kern w:val="2"/>
          <w:sz w:val="21"/>
        </w:rPr>
      </w:r>
    </w:p>
    <w:p>
      <w:pPr>
        <w:pStyle w:val="Heading3"/>
        <w:tabs>
          <w:tab w:val="clear" w:pos="360"/>
          <w:tab w:val="clear" w:pos="4320"/>
          <w:tab w:val="left" w:pos="2160" w:leader="none"/>
          <w:tab w:val="center" w:pos="5310" w:leader="none"/>
          <w:tab w:val="right" w:pos="9000" w:leader="none"/>
        </w:tabs>
        <w:ind w:hanging="0" w:start="0"/>
        <w:jc w:val="start"/>
        <w:rPr/>
      </w:pPr>
      <w:r>
        <w:rPr>
          <w:sz w:val="18"/>
        </w:rPr>
        <w:tab/>
      </w:r>
      <w:r>
        <w:rPr>
          <w:sz w:val="18"/>
          <w:u w:val="single"/>
        </w:rPr>
        <w:tab/>
        <w:t>Three Months Ended</w:t>
      </w:r>
      <w:r>
        <w:rPr>
          <w:b w:val="false"/>
          <w:sz w:val="18"/>
          <w:u w:val="single"/>
        </w:rPr>
        <w:t xml:space="preserve"> </w:t>
      </w:r>
      <w:r>
        <w:rPr>
          <w:sz w:val="18"/>
          <w:u w:val="single"/>
        </w:rPr>
        <w:t>March 31,</w:t>
        <w:tab/>
      </w:r>
    </w:p>
    <w:p>
      <w:pPr>
        <w:pStyle w:val="Normal"/>
        <w:tabs>
          <w:tab w:val="clear" w:pos="720"/>
          <w:tab w:val="left" w:pos="2160" w:leader="none"/>
          <w:tab w:val="center" w:pos="3690" w:leader="none"/>
          <w:tab w:val="left" w:pos="5310" w:leader="none"/>
          <w:tab w:val="left" w:pos="5850" w:leader="none"/>
          <w:tab w:val="center" w:pos="7380" w:leader="none"/>
          <w:tab w:val="left" w:pos="9000" w:leader="none"/>
        </w:tabs>
        <w:suppressAutoHyphens w:val="true"/>
        <w:spacing w:before="120" w:after="0"/>
        <w:rPr>
          <w:spacing w:val="-2"/>
          <w:kern w:val="2"/>
          <w:sz w:val="18"/>
        </w:rPr>
      </w:pPr>
      <w:r>
        <w:rPr>
          <w:spacing w:val="-2"/>
          <w:kern w:val="2"/>
          <w:sz w:val="18"/>
        </w:rPr>
        <w:tab/>
      </w:r>
      <w:r>
        <w:rPr>
          <w:spacing w:val="-2"/>
          <w:kern w:val="2"/>
          <w:sz w:val="18"/>
          <w:u w:val="single"/>
        </w:rPr>
        <w:tab/>
      </w:r>
      <w:r>
        <w:rPr>
          <w:b/>
          <w:spacing w:val="-2"/>
          <w:kern w:val="2"/>
          <w:sz w:val="18"/>
          <w:u w:val="single"/>
        </w:rPr>
        <w:t>2001</w:t>
      </w:r>
      <w:r>
        <w:rPr>
          <w:spacing w:val="-2"/>
          <w:kern w:val="2"/>
          <w:sz w:val="18"/>
          <w:u w:val="single"/>
        </w:rPr>
        <w:tab/>
      </w:r>
      <w:r>
        <w:rPr>
          <w:spacing w:val="-2"/>
          <w:kern w:val="2"/>
          <w:sz w:val="18"/>
        </w:rPr>
        <w:tab/>
      </w:r>
      <w:r>
        <w:rPr>
          <w:spacing w:val="-2"/>
          <w:kern w:val="2"/>
          <w:sz w:val="18"/>
          <w:u w:val="single"/>
        </w:rPr>
        <w:tab/>
      </w:r>
      <w:r>
        <w:rPr>
          <w:b/>
          <w:spacing w:val="-2"/>
          <w:kern w:val="2"/>
          <w:sz w:val="18"/>
          <w:u w:val="single"/>
        </w:rPr>
        <w:t>2000</w:t>
      </w:r>
      <w:r>
        <w:rPr>
          <w:spacing w:val="-2"/>
          <w:kern w:val="2"/>
          <w:sz w:val="18"/>
          <w:u w:val="single"/>
        </w:rPr>
        <w:tab/>
      </w:r>
    </w:p>
    <w:p>
      <w:pPr>
        <w:pStyle w:val="Normal"/>
        <w:tabs>
          <w:tab w:val="clear" w:pos="720"/>
          <w:tab w:val="left" w:pos="360" w:leader="none"/>
          <w:tab w:val="left" w:pos="1890" w:leader="none"/>
          <w:tab w:val="left" w:pos="2160" w:leader="none"/>
          <w:tab w:val="center" w:pos="2610" w:leader="none"/>
          <w:tab w:val="right" w:pos="2970" w:leader="none"/>
          <w:tab w:val="left" w:pos="3330" w:leader="none"/>
          <w:tab w:val="center" w:pos="3780" w:leader="none"/>
          <w:tab w:val="right" w:pos="4140" w:leader="none"/>
          <w:tab w:val="left" w:pos="4500" w:leader="none"/>
          <w:tab w:val="center" w:pos="4950" w:leader="none"/>
          <w:tab w:val="right" w:pos="5310" w:leader="none"/>
          <w:tab w:val="left" w:pos="5850" w:leader="none"/>
          <w:tab w:val="center" w:pos="6300" w:leader="none"/>
          <w:tab w:val="right" w:pos="6660" w:leader="none"/>
          <w:tab w:val="left" w:pos="7020" w:leader="none"/>
          <w:tab w:val="center" w:pos="7470" w:leader="none"/>
          <w:tab w:val="right" w:pos="7830" w:leader="none"/>
          <w:tab w:val="left" w:pos="8190" w:leader="none"/>
          <w:tab w:val="center" w:pos="8640" w:leader="none"/>
          <w:tab w:val="right" w:pos="9000" w:leader="none"/>
        </w:tabs>
        <w:spacing w:before="60" w:after="0"/>
        <w:jc w:val="both"/>
        <w:rPr>
          <w:spacing w:val="-2"/>
          <w:kern w:val="2"/>
          <w:sz w:val="18"/>
        </w:rPr>
      </w:pPr>
      <w:r>
        <w:rPr>
          <w:spacing w:val="-2"/>
          <w:kern w:val="2"/>
          <w:sz w:val="18"/>
        </w:rPr>
        <w:tab/>
        <w:tab/>
        <w:tab/>
        <w:tab/>
        <w:tab/>
        <w:tab/>
        <w:tab/>
        <w:t>Wtd.</w:t>
        <w:tab/>
        <w:tab/>
        <w:tab/>
        <w:tab/>
        <w:tab/>
        <w:tab/>
        <w:tab/>
        <w:tab/>
        <w:tab/>
        <w:t>Wtd.</w:t>
        <w:tab/>
        <w:tab/>
      </w:r>
    </w:p>
    <w:p>
      <w:pPr>
        <w:pStyle w:val="Normal"/>
        <w:tabs>
          <w:tab w:val="clear" w:pos="720"/>
          <w:tab w:val="left" w:pos="360" w:leader="none"/>
          <w:tab w:val="left" w:pos="1890" w:leader="none"/>
          <w:tab w:val="left" w:pos="2160" w:leader="none"/>
          <w:tab w:val="center" w:pos="2610" w:leader="none"/>
          <w:tab w:val="right" w:pos="2970" w:leader="none"/>
          <w:tab w:val="left" w:pos="3330" w:leader="none"/>
          <w:tab w:val="center" w:pos="3780" w:leader="none"/>
          <w:tab w:val="right" w:pos="4140" w:leader="none"/>
          <w:tab w:val="left" w:pos="4500" w:leader="none"/>
          <w:tab w:val="center" w:pos="4950" w:leader="none"/>
          <w:tab w:val="right" w:pos="5310" w:leader="none"/>
          <w:tab w:val="left" w:pos="5850" w:leader="none"/>
          <w:tab w:val="center" w:pos="6300" w:leader="none"/>
          <w:tab w:val="right" w:pos="6660" w:leader="none"/>
          <w:tab w:val="left" w:pos="7020" w:leader="none"/>
          <w:tab w:val="center" w:pos="7470" w:leader="none"/>
          <w:tab w:val="right" w:pos="7830" w:leader="none"/>
          <w:tab w:val="left" w:pos="8190" w:leader="none"/>
          <w:tab w:val="center" w:pos="8640" w:leader="none"/>
          <w:tab w:val="right" w:pos="9000" w:leader="none"/>
        </w:tabs>
        <w:jc w:val="both"/>
        <w:rPr>
          <w:spacing w:val="-2"/>
          <w:kern w:val="2"/>
          <w:sz w:val="18"/>
        </w:rPr>
      </w:pPr>
      <w:r>
        <w:rPr>
          <w:spacing w:val="-2"/>
          <w:kern w:val="2"/>
          <w:sz w:val="18"/>
        </w:rPr>
        <w:tab/>
        <w:tab/>
        <w:tab/>
        <w:tab/>
        <w:t>Net</w:t>
        <w:tab/>
        <w:tab/>
        <w:tab/>
        <w:t>Average</w:t>
        <w:tab/>
        <w:tab/>
        <w:tab/>
        <w:t>Per</w:t>
        <w:tab/>
        <w:tab/>
        <w:tab/>
        <w:t>Net</w:t>
        <w:tab/>
        <w:tab/>
        <w:tab/>
        <w:t>Average</w:t>
        <w:tab/>
        <w:tab/>
        <w:tab/>
        <w:t>Per</w:t>
        <w:tab/>
      </w:r>
    </w:p>
    <w:p>
      <w:pPr>
        <w:pStyle w:val="Normal"/>
        <w:tabs>
          <w:tab w:val="left" w:pos="720" w:leader="none"/>
          <w:tab w:val="left" w:pos="1890" w:leader="none"/>
          <w:tab w:val="left" w:pos="2160" w:leader="none"/>
          <w:tab w:val="center" w:pos="2610" w:leader="none"/>
          <w:tab w:val="right" w:pos="2970" w:leader="none"/>
          <w:tab w:val="left" w:pos="3330" w:leader="none"/>
          <w:tab w:val="center" w:pos="3780" w:leader="none"/>
          <w:tab w:val="right" w:pos="4140" w:leader="none"/>
          <w:tab w:val="left" w:pos="4500" w:leader="none"/>
          <w:tab w:val="center" w:pos="4950" w:leader="none"/>
          <w:tab w:val="right" w:pos="5310" w:leader="none"/>
          <w:tab w:val="left" w:pos="5850" w:leader="none"/>
          <w:tab w:val="center" w:pos="6300" w:leader="none"/>
          <w:tab w:val="right" w:pos="6660" w:leader="none"/>
          <w:tab w:val="left" w:pos="7020" w:leader="none"/>
          <w:tab w:val="center" w:pos="7470" w:leader="none"/>
          <w:tab w:val="right" w:pos="7830" w:leader="none"/>
          <w:tab w:val="left" w:pos="8190" w:leader="none"/>
          <w:tab w:val="center" w:pos="8640" w:leader="none"/>
          <w:tab w:val="right" w:pos="9000" w:leader="none"/>
        </w:tabs>
        <w:jc w:val="both"/>
        <w:rPr/>
      </w:pPr>
      <w:r>
        <w:rPr>
          <w:spacing w:val="-2"/>
          <w:kern w:val="2"/>
          <w:sz w:val="18"/>
        </w:rPr>
        <w:tab/>
        <w:tab/>
        <w:tab/>
      </w:r>
      <w:r>
        <w:rPr>
          <w:spacing w:val="-2"/>
          <w:kern w:val="2"/>
          <w:sz w:val="18"/>
          <w:u w:val="single"/>
        </w:rPr>
        <w:tab/>
        <w:t>Income</w:t>
        <w:tab/>
      </w:r>
      <w:r>
        <w:rPr>
          <w:spacing w:val="-2"/>
          <w:kern w:val="2"/>
          <w:sz w:val="18"/>
        </w:rPr>
        <w:tab/>
      </w:r>
      <w:r>
        <w:rPr>
          <w:spacing w:val="-2"/>
          <w:kern w:val="2"/>
          <w:sz w:val="18"/>
          <w:u w:val="single"/>
        </w:rPr>
        <w:tab/>
        <w:t>Units</w:t>
        <w:tab/>
      </w:r>
      <w:r>
        <w:rPr>
          <w:spacing w:val="-2"/>
          <w:kern w:val="2"/>
          <w:sz w:val="18"/>
        </w:rPr>
        <w:tab/>
      </w:r>
      <w:r>
        <w:rPr>
          <w:spacing w:val="-2"/>
          <w:kern w:val="2"/>
          <w:sz w:val="18"/>
          <w:u w:val="single"/>
        </w:rPr>
        <w:tab/>
        <w:t>Unit</w:t>
        <w:tab/>
      </w:r>
      <w:r>
        <w:rPr>
          <w:spacing w:val="-2"/>
          <w:kern w:val="2"/>
          <w:sz w:val="18"/>
        </w:rPr>
        <w:tab/>
      </w:r>
      <w:r>
        <w:rPr>
          <w:spacing w:val="-2"/>
          <w:kern w:val="2"/>
          <w:sz w:val="18"/>
          <w:u w:val="single"/>
        </w:rPr>
        <w:tab/>
        <w:t>Income</w:t>
        <w:tab/>
      </w:r>
      <w:r>
        <w:rPr>
          <w:spacing w:val="-2"/>
          <w:kern w:val="2"/>
          <w:sz w:val="18"/>
        </w:rPr>
        <w:tab/>
      </w:r>
      <w:r>
        <w:rPr>
          <w:spacing w:val="-2"/>
          <w:kern w:val="2"/>
          <w:sz w:val="18"/>
          <w:u w:val="single"/>
        </w:rPr>
        <w:tab/>
        <w:t>Units</w:t>
        <w:tab/>
      </w:r>
      <w:r>
        <w:rPr>
          <w:spacing w:val="-2"/>
          <w:kern w:val="2"/>
          <w:sz w:val="18"/>
        </w:rPr>
        <w:tab/>
      </w:r>
      <w:r>
        <w:rPr>
          <w:spacing w:val="-2"/>
          <w:kern w:val="2"/>
          <w:sz w:val="18"/>
          <w:u w:val="single"/>
        </w:rPr>
        <w:tab/>
        <w:t>Unit</w:t>
        <w:tab/>
      </w:r>
    </w:p>
    <w:p>
      <w:pPr>
        <w:pStyle w:val="BodyText"/>
        <w:tabs>
          <w:tab w:val="clear" w:pos="720"/>
          <w:tab w:val="clear" w:pos="1080"/>
          <w:tab w:val="clear" w:pos="2520"/>
          <w:tab w:val="clear" w:pos="3510"/>
          <w:tab w:val="clear" w:pos="4320"/>
          <w:tab w:val="clear" w:pos="4770"/>
          <w:tab w:val="clear" w:pos="4950"/>
          <w:tab w:val="clear" w:pos="5670"/>
          <w:tab w:val="clear" w:pos="6300"/>
          <w:tab w:val="clear" w:pos="6660"/>
          <w:tab w:val="clear" w:pos="7290"/>
          <w:tab w:val="clear" w:pos="7650"/>
          <w:tab w:val="left" w:pos="360" w:leader="none"/>
          <w:tab w:val="left" w:pos="1710" w:leader="none"/>
          <w:tab w:val="left" w:pos="2790" w:leader="none"/>
          <w:tab w:val="center" w:pos="3060" w:leader="none"/>
          <w:tab w:val="center" w:pos="3690" w:leader="none"/>
          <w:tab w:val="left" w:pos="3960" w:leader="none"/>
          <w:tab w:val="left" w:pos="5760" w:leader="none"/>
          <w:tab w:val="left" w:pos="6840" w:leader="none"/>
          <w:tab w:val="center" w:pos="6930" w:leader="none"/>
          <w:tab w:val="center" w:pos="7110" w:leader="none"/>
          <w:tab w:val="left" w:pos="7920" w:leader="none"/>
          <w:tab w:val="right" w:pos="8280" w:leader="none"/>
        </w:tabs>
        <w:spacing w:before="40" w:after="0"/>
        <w:rPr>
          <w:sz w:val="18"/>
        </w:rPr>
      </w:pPr>
      <w:r>
        <w:rPr>
          <w:sz w:val="18"/>
        </w:rPr>
        <w:tab/>
        <w:t>Basic (1)</w:t>
      </w:r>
    </w:p>
    <w:p>
      <w:pPr>
        <w:pStyle w:val="Normal"/>
        <w:tabs>
          <w:tab w:val="clear" w:pos="720"/>
          <w:tab w:val="left" w:pos="540" w:leader="none"/>
          <w:tab w:val="left" w:pos="1080" w:leader="none"/>
          <w:tab w:val="left" w:pos="2160" w:leader="none"/>
          <w:tab w:val="decimal" w:pos="2970" w:leader="none"/>
          <w:tab w:val="left" w:pos="3330" w:leader="none"/>
          <w:tab w:val="decimal" w:pos="4140" w:leader="none"/>
          <w:tab w:val="left" w:pos="4500" w:leader="none"/>
          <w:tab w:val="right" w:pos="5310" w:leader="none"/>
          <w:tab w:val="left" w:pos="5850" w:leader="none"/>
          <w:tab w:val="right" w:pos="6660" w:leader="none"/>
          <w:tab w:val="left" w:pos="7020" w:leader="none"/>
          <w:tab w:val="right" w:pos="7830" w:leader="none"/>
          <w:tab w:val="left" w:pos="8190" w:leader="none"/>
          <w:tab w:val="right" w:pos="9000" w:leader="none"/>
        </w:tabs>
        <w:spacing w:before="40" w:after="0"/>
        <w:jc w:val="both"/>
        <w:rPr>
          <w:spacing w:val="-2"/>
          <w:kern w:val="2"/>
          <w:sz w:val="18"/>
        </w:rPr>
      </w:pPr>
      <w:r>
        <w:rPr>
          <w:spacing w:val="-2"/>
          <w:kern w:val="2"/>
          <w:sz w:val="18"/>
        </w:rPr>
        <w:tab/>
        <w:t>Common</w:t>
        <w:tab/>
        <w:t>$</w:t>
        <w:tab/>
        <w:t>4,180</w:t>
        <w:tab/>
        <w:tab/>
        <w:t>18,476</w:t>
        <w:tab/>
        <w:t>$</w:t>
        <w:tab/>
        <w:t>0.23</w:t>
        <w:tab/>
        <w:t>$</w:t>
        <w:tab/>
        <w:t>1,464</w:t>
        <w:tab/>
        <w:tab/>
        <w:t>18,476</w:t>
        <w:tab/>
        <w:t>$</w:t>
        <w:tab/>
        <w:t>0.08</w:t>
      </w:r>
    </w:p>
    <w:p>
      <w:pPr>
        <w:pStyle w:val="BodyText"/>
        <w:tabs>
          <w:tab w:val="clear" w:pos="720"/>
          <w:tab w:val="clear" w:pos="2520"/>
          <w:tab w:val="clear" w:pos="3060"/>
          <w:tab w:val="clear" w:pos="3510"/>
          <w:tab w:val="clear" w:pos="3960"/>
          <w:tab w:val="clear" w:pos="4320"/>
          <w:tab w:val="clear" w:pos="4770"/>
          <w:tab w:val="clear" w:pos="4950"/>
          <w:tab w:val="clear" w:pos="5670"/>
          <w:tab w:val="clear" w:pos="6300"/>
          <w:tab w:val="clear" w:pos="7290"/>
          <w:tab w:val="clear" w:pos="7650"/>
          <w:tab w:val="clear" w:pos="8280"/>
          <w:tab w:val="left" w:pos="540" w:leader="none"/>
          <w:tab w:val="left" w:pos="1080" w:leader="none"/>
          <w:tab w:val="left" w:pos="2160" w:leader="none"/>
          <w:tab w:val="decimal" w:pos="2970" w:leader="none"/>
          <w:tab w:val="left" w:pos="3330" w:leader="none"/>
          <w:tab w:val="decimal" w:pos="4140" w:leader="none"/>
          <w:tab w:val="left" w:pos="4500" w:leader="none"/>
          <w:tab w:val="right" w:pos="5310" w:leader="none"/>
          <w:tab w:val="left" w:pos="5850" w:leader="none"/>
          <w:tab w:val="right" w:pos="6660" w:leader="none"/>
          <w:tab w:val="left" w:pos="7020" w:leader="none"/>
          <w:tab w:val="right" w:pos="7830" w:leader="none"/>
          <w:tab w:val="left" w:pos="8190" w:leader="none"/>
          <w:tab w:val="right" w:pos="9000" w:leader="none"/>
        </w:tabs>
        <w:spacing w:before="40" w:after="0"/>
        <w:rPr>
          <w:sz w:val="18"/>
        </w:rPr>
      </w:pPr>
      <w:r>
        <w:rPr>
          <w:sz w:val="18"/>
        </w:rPr>
        <w:tab/>
        <w:t>Subordinated</w:t>
        <w:tab/>
        <w:t>$</w:t>
        <w:tab/>
        <w:t>2,035</w:t>
        <w:tab/>
        <w:tab/>
        <w:t>9,000</w:t>
        <w:tab/>
        <w:t>$</w:t>
        <w:tab/>
        <w:t>0.23</w:t>
        <w:tab/>
        <w:t>$</w:t>
        <w:tab/>
        <w:t>713</w:t>
        <w:tab/>
        <w:tab/>
        <w:t>9,000</w:t>
        <w:tab/>
        <w:t>$</w:t>
        <w:tab/>
        <w:t>0.08</w:t>
      </w:r>
    </w:p>
    <w:p>
      <w:pPr>
        <w:pStyle w:val="Normal"/>
        <w:tabs>
          <w:tab w:val="left" w:pos="360" w:leader="none"/>
          <w:tab w:val="left" w:pos="720" w:leader="none"/>
          <w:tab w:val="left" w:pos="2160" w:leader="none"/>
          <w:tab w:val="decimal" w:pos="2970" w:leader="none"/>
          <w:tab w:val="left" w:pos="3330" w:leader="none"/>
          <w:tab w:val="decimal" w:pos="4140" w:leader="none"/>
          <w:tab w:val="left" w:pos="4500" w:leader="none"/>
          <w:tab w:val="right" w:pos="5310" w:leader="none"/>
          <w:tab w:val="left" w:pos="5850" w:leader="none"/>
          <w:tab w:val="right" w:pos="6660" w:leader="none"/>
          <w:tab w:val="left" w:pos="7020" w:leader="none"/>
          <w:tab w:val="right" w:pos="7830" w:leader="none"/>
          <w:tab w:val="left" w:pos="8190" w:leader="none"/>
          <w:tab w:val="right" w:pos="9000" w:leader="none"/>
        </w:tabs>
        <w:spacing w:before="40" w:after="0"/>
        <w:jc w:val="both"/>
        <w:rPr>
          <w:spacing w:val="-2"/>
          <w:kern w:val="2"/>
          <w:sz w:val="18"/>
        </w:rPr>
      </w:pPr>
      <w:r>
        <w:rPr>
          <w:spacing w:val="-2"/>
          <w:kern w:val="2"/>
          <w:sz w:val="18"/>
        </w:rPr>
        <w:tab/>
        <w:t>Diluted (2)</w:t>
        <w:tab/>
        <w:t>$</w:t>
        <w:tab/>
        <w:t>6,215</w:t>
        <w:tab/>
        <w:tab/>
        <w:t>27,476</w:t>
        <w:tab/>
        <w:t>$</w:t>
        <w:tab/>
        <w:t>0.23</w:t>
        <w:tab/>
        <w:t>$</w:t>
        <w:tab/>
        <w:t>2,177</w:t>
        <w:tab/>
        <w:tab/>
        <w:t>27,476</w:t>
        <w:tab/>
        <w:t>$</w:t>
        <w:tab/>
        <w:t>0.08</w:t>
      </w:r>
    </w:p>
    <w:p>
      <w:pPr>
        <w:pStyle w:val="BodyTextIndent"/>
        <w:tabs>
          <w:tab w:val="clear" w:pos="1710"/>
          <w:tab w:val="clear" w:pos="8294"/>
          <w:tab w:val="left" w:pos="346" w:leader="none"/>
        </w:tabs>
        <w:spacing w:lineRule="exact" w:line="240"/>
        <w:ind w:hanging="0" w:start="0" w:end="0"/>
        <w:rPr>
          <w:spacing w:val="-2"/>
          <w:kern w:val="2"/>
          <w:sz w:val="18"/>
        </w:rPr>
      </w:pPr>
      <w:r>
        <w:rPr>
          <w:spacing w:val="-2"/>
          <w:kern w:val="2"/>
          <w:sz w:val="18"/>
        </w:rPr>
      </w:r>
    </w:p>
    <w:p>
      <w:pPr>
        <w:pStyle w:val="Normal"/>
        <w:numPr>
          <w:ilvl w:val="0"/>
          <w:numId w:val="2"/>
        </w:numPr>
        <w:tabs>
          <w:tab w:val="clear" w:pos="720"/>
          <w:tab w:val="left" w:pos="990" w:leader="none"/>
          <w:tab w:val="left" w:pos="1710" w:leader="none"/>
          <w:tab w:val="left" w:pos="2880" w:leader="none"/>
          <w:tab w:val="left" w:pos="2970" w:leader="none"/>
          <w:tab w:val="center" w:pos="3060" w:leader="none"/>
          <w:tab w:val="left" w:pos="3870" w:leader="none"/>
          <w:tab w:val="left" w:pos="3960" w:leader="none"/>
          <w:tab w:val="left" w:pos="4140" w:leader="none"/>
          <w:tab w:val="left" w:pos="5760" w:leader="none"/>
          <w:tab w:val="left" w:pos="5940" w:leader="none"/>
          <w:tab w:val="left" w:pos="6840" w:leader="none"/>
          <w:tab w:val="center" w:pos="7020" w:leader="none"/>
          <w:tab w:val="center" w:pos="7110" w:leader="none"/>
          <w:tab w:val="left" w:pos="7920" w:leader="none"/>
          <w:tab w:val="left" w:pos="8100" w:leader="none"/>
        </w:tabs>
        <w:ind w:hanging="540" w:start="990" w:end="540"/>
        <w:jc w:val="both"/>
        <w:rPr>
          <w:spacing w:val="-2"/>
          <w:kern w:val="2"/>
          <w:sz w:val="18"/>
        </w:rPr>
      </w:pPr>
      <w:r>
        <w:rPr>
          <w:spacing w:val="-2"/>
          <w:kern w:val="2"/>
          <w:sz w:val="18"/>
        </w:rPr>
        <w:t xml:space="preserve">Net income, excluding the two percent General Partner interest, has been apportioned to each class of Unitholder based on the ownership of total Units outstanding which is also reflected on the Statement of Partners’ Capital. </w:t>
      </w:r>
    </w:p>
    <w:p>
      <w:pPr>
        <w:pStyle w:val="Normal"/>
        <w:tabs>
          <w:tab w:val="clear" w:pos="720"/>
          <w:tab w:val="left" w:pos="990" w:leader="none"/>
          <w:tab w:val="left" w:pos="1710" w:leader="none"/>
          <w:tab w:val="left" w:pos="2880" w:leader="none"/>
          <w:tab w:val="left" w:pos="2970" w:leader="none"/>
          <w:tab w:val="center" w:pos="3060" w:leader="none"/>
          <w:tab w:val="left" w:pos="3870" w:leader="none"/>
          <w:tab w:val="left" w:pos="3960" w:leader="none"/>
          <w:tab w:val="left" w:pos="4140" w:leader="none"/>
          <w:tab w:val="left" w:pos="5760" w:leader="none"/>
          <w:tab w:val="left" w:pos="5940" w:leader="none"/>
          <w:tab w:val="left" w:pos="6840" w:leader="none"/>
          <w:tab w:val="center" w:pos="7020" w:leader="none"/>
          <w:tab w:val="center" w:pos="7110" w:leader="none"/>
          <w:tab w:val="left" w:pos="7920" w:leader="none"/>
          <w:tab w:val="left" w:pos="8100" w:leader="none"/>
        </w:tabs>
        <w:ind w:hanging="540" w:start="990" w:end="540"/>
        <w:jc w:val="both"/>
        <w:rPr>
          <w:spacing w:val="-2"/>
          <w:kern w:val="2"/>
          <w:sz w:val="18"/>
        </w:rPr>
      </w:pPr>
      <w:r>
        <w:rPr>
          <w:spacing w:val="-2"/>
          <w:kern w:val="2"/>
          <w:sz w:val="18"/>
        </w:rPr>
      </w:r>
    </w:p>
    <w:p>
      <w:pPr>
        <w:pStyle w:val="Normal"/>
        <w:numPr>
          <w:ilvl w:val="0"/>
          <w:numId w:val="2"/>
        </w:numPr>
        <w:tabs>
          <w:tab w:val="clear" w:pos="720"/>
          <w:tab w:val="left" w:pos="990" w:leader="none"/>
          <w:tab w:val="left" w:pos="1710" w:leader="none"/>
          <w:tab w:val="left" w:pos="2880" w:leader="none"/>
          <w:tab w:val="left" w:pos="2970" w:leader="none"/>
          <w:tab w:val="center" w:pos="3060" w:leader="none"/>
          <w:tab w:val="left" w:pos="3870" w:leader="none"/>
          <w:tab w:val="left" w:pos="3960" w:leader="none"/>
          <w:tab w:val="left" w:pos="4140" w:leader="none"/>
          <w:tab w:val="left" w:pos="5760" w:leader="none"/>
          <w:tab w:val="left" w:pos="5940" w:leader="none"/>
          <w:tab w:val="left" w:pos="6840" w:leader="none"/>
          <w:tab w:val="center" w:pos="7020" w:leader="none"/>
          <w:tab w:val="center" w:pos="7110" w:leader="none"/>
          <w:tab w:val="left" w:pos="7920" w:leader="none"/>
          <w:tab w:val="left" w:pos="8100" w:leader="none"/>
        </w:tabs>
        <w:ind w:hanging="540" w:start="990" w:end="540"/>
        <w:jc w:val="both"/>
        <w:rPr>
          <w:spacing w:val="-2"/>
          <w:kern w:val="2"/>
          <w:sz w:val="18"/>
        </w:rPr>
      </w:pPr>
      <w:r>
        <w:rPr>
          <w:spacing w:val="-2"/>
          <w:kern w:val="2"/>
          <w:sz w:val="18"/>
        </w:rPr>
        <w:t xml:space="preserve">The diluted income per unit calculation assumes the conversion of Subordinated Units into Common Units. </w:t>
      </w:r>
    </w:p>
    <w:p>
      <w:pPr>
        <w:pStyle w:val="Normal"/>
        <w:tabs>
          <w:tab w:val="clear" w:pos="720"/>
          <w:tab w:val="left" w:pos="990" w:leader="none"/>
          <w:tab w:val="left" w:pos="1710" w:leader="none"/>
          <w:tab w:val="left" w:pos="2880" w:leader="none"/>
          <w:tab w:val="left" w:pos="2970" w:leader="none"/>
          <w:tab w:val="center" w:pos="3060" w:leader="none"/>
          <w:tab w:val="left" w:pos="3870" w:leader="none"/>
          <w:tab w:val="left" w:pos="3960" w:leader="none"/>
          <w:tab w:val="left" w:pos="4140" w:leader="none"/>
          <w:tab w:val="left" w:pos="5760" w:leader="none"/>
          <w:tab w:val="left" w:pos="5940" w:leader="none"/>
          <w:tab w:val="left" w:pos="6840" w:leader="none"/>
          <w:tab w:val="center" w:pos="7020" w:leader="none"/>
          <w:tab w:val="center" w:pos="7110" w:leader="none"/>
          <w:tab w:val="left" w:pos="7920" w:leader="none"/>
          <w:tab w:val="left" w:pos="8100" w:leader="none"/>
        </w:tabs>
        <w:ind w:hanging="540" w:start="990" w:end="540"/>
        <w:jc w:val="both"/>
        <w:rPr>
          <w:spacing w:val="-2"/>
          <w:kern w:val="2"/>
          <w:sz w:val="18"/>
        </w:rPr>
      </w:pPr>
      <w:r>
        <w:rPr>
          <w:spacing w:val="-2"/>
          <w:kern w:val="2"/>
          <w:sz w:val="18"/>
        </w:rPr>
      </w:r>
    </w:p>
    <w:p>
      <w:pPr>
        <w:pStyle w:val="Normal"/>
        <w:tabs>
          <w:tab w:val="clear" w:pos="720"/>
          <w:tab w:val="left" w:pos="1710" w:leader="none"/>
          <w:tab w:val="left" w:pos="2880" w:leader="none"/>
          <w:tab w:val="left" w:pos="2970" w:leader="none"/>
          <w:tab w:val="center" w:pos="3060" w:leader="none"/>
          <w:tab w:val="left" w:pos="3870" w:leader="none"/>
          <w:tab w:val="left" w:pos="3960" w:leader="none"/>
          <w:tab w:val="left" w:pos="4140" w:leader="none"/>
          <w:tab w:val="left" w:pos="5760" w:leader="none"/>
          <w:tab w:val="left" w:pos="5940" w:leader="none"/>
          <w:tab w:val="left" w:pos="6840" w:leader="none"/>
          <w:tab w:val="center" w:pos="7020" w:leader="none"/>
          <w:tab w:val="center" w:pos="7110" w:leader="none"/>
          <w:tab w:val="left" w:pos="7920" w:leader="none"/>
          <w:tab w:val="left" w:pos="8100" w:leader="none"/>
        </w:tabs>
        <w:ind w:end="907"/>
        <w:jc w:val="both"/>
        <w:rPr>
          <w:spacing w:val="-2"/>
          <w:kern w:val="2"/>
          <w:sz w:val="18"/>
        </w:rPr>
      </w:pPr>
      <w:r>
        <w:rPr>
          <w:spacing w:val="-2"/>
          <w:kern w:val="2"/>
          <w:sz w:val="18"/>
        </w:rPr>
      </w:r>
    </w:p>
    <w:p>
      <w:pPr>
        <w:pStyle w:val="BodyTextIndent"/>
        <w:tabs>
          <w:tab w:val="clear" w:pos="1710"/>
          <w:tab w:val="clear" w:pos="8294"/>
          <w:tab w:val="left" w:pos="346" w:leader="none"/>
        </w:tabs>
        <w:spacing w:lineRule="exact" w:line="240"/>
        <w:ind w:hanging="0" w:start="0" w:end="0"/>
        <w:rPr/>
      </w:pPr>
      <w:r>
        <w:rPr/>
        <w:tab/>
        <w:t>Net income and per unit information related to the net income before cumulative effect of accounting changes and cumulative effect of the accounting changes for the three months ended March 31, 2001 is as follows:</w:t>
      </w:r>
    </w:p>
    <w:p>
      <w:pPr>
        <w:pStyle w:val="Normal"/>
        <w:tabs>
          <w:tab w:val="clear" w:pos="720"/>
          <w:tab w:val="left" w:pos="360" w:leader="none"/>
        </w:tabs>
        <w:suppressAutoHyphens w:val="true"/>
        <w:spacing w:lineRule="exact" w:line="180"/>
        <w:jc w:val="both"/>
        <w:rPr>
          <w:spacing w:val="-2"/>
          <w:kern w:val="2"/>
          <w:sz w:val="21"/>
          <w:u w:val="single"/>
        </w:rPr>
      </w:pPr>
      <w:r>
        <w:rPr>
          <w:spacing w:val="-2"/>
          <w:kern w:val="2"/>
          <w:sz w:val="21"/>
          <w:u w:val="single"/>
        </w:rPr>
      </w:r>
    </w:p>
    <w:p>
      <w:pPr>
        <w:pStyle w:val="Normal"/>
        <w:tabs>
          <w:tab w:val="clear" w:pos="720"/>
          <w:tab w:val="left" w:pos="360" w:leader="none"/>
        </w:tabs>
        <w:suppressAutoHyphens w:val="true"/>
        <w:spacing w:lineRule="exact" w:line="180"/>
        <w:jc w:val="both"/>
        <w:rPr>
          <w:spacing w:val="-2"/>
          <w:kern w:val="2"/>
          <w:sz w:val="21"/>
          <w:u w:val="single"/>
        </w:rPr>
      </w:pPr>
      <w:r>
        <w:rPr>
          <w:spacing w:val="-2"/>
          <w:kern w:val="2"/>
          <w:sz w:val="21"/>
          <w:u w:val="single"/>
        </w:rPr>
      </w:r>
    </w:p>
    <w:p>
      <w:pPr>
        <w:pStyle w:val="Heading3"/>
        <w:tabs>
          <w:tab w:val="clear" w:pos="360"/>
          <w:tab w:val="clear" w:pos="4320"/>
          <w:tab w:val="left" w:pos="5040" w:leader="none"/>
          <w:tab w:val="center" w:pos="7020" w:leader="none"/>
          <w:tab w:val="right" w:pos="9000" w:leader="none"/>
        </w:tabs>
        <w:ind w:hanging="0" w:start="0"/>
        <w:jc w:val="start"/>
        <w:rPr/>
      </w:pPr>
      <w:r>
        <w:rPr>
          <w:sz w:val="18"/>
        </w:rPr>
        <w:tab/>
      </w:r>
      <w:r>
        <w:rPr>
          <w:sz w:val="18"/>
          <w:u w:val="single"/>
        </w:rPr>
        <w:tab/>
        <w:t>Recap of Net Income March 31, 2001</w:t>
        <w:tab/>
      </w:r>
    </w:p>
    <w:p>
      <w:pPr>
        <w:pStyle w:val="Normal"/>
        <w:tabs>
          <w:tab w:val="left" w:pos="360" w:leader="none"/>
          <w:tab w:val="left" w:pos="720" w:leader="none"/>
          <w:tab w:val="left" w:pos="5040" w:leader="none"/>
          <w:tab w:val="center" w:pos="6300" w:leader="none"/>
          <w:tab w:val="right" w:pos="7560" w:leader="none"/>
        </w:tabs>
        <w:suppressAutoHyphens w:val="true"/>
        <w:spacing w:before="80" w:after="0"/>
        <w:jc w:val="both"/>
        <w:rPr/>
      </w:pPr>
      <w:r>
        <w:rPr>
          <w:spacing w:val="-2"/>
          <w:kern w:val="2"/>
          <w:sz w:val="19"/>
        </w:rPr>
        <w:tab/>
        <w:tab/>
        <w:tab/>
      </w:r>
      <w:r>
        <w:rPr>
          <w:spacing w:val="-2"/>
          <w:kern w:val="2"/>
          <w:u w:val="single"/>
        </w:rPr>
        <w:tab/>
        <w:t>Basic</w:t>
        <w:tab/>
      </w:r>
    </w:p>
    <w:p>
      <w:pPr>
        <w:pStyle w:val="Normal"/>
        <w:tabs>
          <w:tab w:val="left" w:pos="360" w:leader="none"/>
          <w:tab w:val="left" w:pos="720" w:leader="none"/>
          <w:tab w:val="left" w:pos="4680" w:leader="none"/>
          <w:tab w:val="left" w:pos="5040" w:leader="none"/>
          <w:tab w:val="center" w:pos="5580" w:leader="none"/>
          <w:tab w:val="decimal" w:pos="6120" w:leader="none"/>
          <w:tab w:val="left" w:pos="6480" w:leader="none"/>
          <w:tab w:val="center" w:pos="7020" w:leader="none"/>
          <w:tab w:val="right" w:pos="7560" w:leader="none"/>
          <w:tab w:val="left" w:pos="7920" w:leader="none"/>
          <w:tab w:val="center" w:pos="8460" w:leader="none"/>
          <w:tab w:val="right" w:pos="9000" w:leader="none"/>
        </w:tabs>
        <w:suppressAutoHyphens w:val="true"/>
        <w:jc w:val="both"/>
        <w:rPr/>
      </w:pPr>
      <w:r>
        <w:rPr>
          <w:spacing w:val="-2"/>
          <w:kern w:val="2"/>
        </w:rPr>
        <w:tab/>
        <w:tab/>
        <w:tab/>
        <w:tab/>
      </w:r>
      <w:r>
        <w:rPr>
          <w:spacing w:val="-2"/>
          <w:kern w:val="2"/>
          <w:u w:val="single"/>
        </w:rPr>
        <w:tab/>
      </w:r>
      <w:r>
        <w:rPr>
          <w:u w:val="single"/>
        </w:rPr>
        <w:t>Common</w:t>
      </w:r>
      <w:r>
        <w:rPr>
          <w:spacing w:val="-2"/>
          <w:kern w:val="2"/>
          <w:u w:val="single"/>
        </w:rPr>
        <w:tab/>
      </w:r>
      <w:r>
        <w:rPr>
          <w:spacing w:val="-2"/>
          <w:kern w:val="2"/>
        </w:rPr>
        <w:tab/>
      </w:r>
      <w:r>
        <w:rPr>
          <w:spacing w:val="-2"/>
          <w:kern w:val="2"/>
          <w:u w:val="single"/>
        </w:rPr>
        <w:tab/>
      </w:r>
      <w:r>
        <w:rPr>
          <w:u w:val="single"/>
        </w:rPr>
        <w:t>Subordinated</w:t>
      </w:r>
      <w:r>
        <w:rPr>
          <w:spacing w:val="-2"/>
          <w:kern w:val="2"/>
          <w:u w:val="single"/>
        </w:rPr>
        <w:tab/>
      </w:r>
      <w:r>
        <w:rPr/>
        <w:tab/>
      </w:r>
      <w:r>
        <w:rPr>
          <w:u w:val="single"/>
        </w:rPr>
        <w:tab/>
        <w:t>Diluted</w:t>
      </w:r>
      <w:r>
        <w:rPr>
          <w:spacing w:val="-2"/>
          <w:kern w:val="2"/>
          <w:u w:val="single"/>
        </w:rPr>
        <w:tab/>
      </w:r>
    </w:p>
    <w:p>
      <w:pPr>
        <w:pStyle w:val="Normal"/>
        <w:tabs>
          <w:tab w:val="clear" w:pos="720"/>
          <w:tab w:val="left" w:pos="630" w:leader="none"/>
          <w:tab w:val="left" w:pos="4770" w:leader="dot"/>
          <w:tab w:val="left" w:pos="5040" w:leader="none"/>
          <w:tab w:val="decimal" w:pos="6030" w:leader="none"/>
          <w:tab w:val="left" w:pos="6480" w:leader="none"/>
          <w:tab w:val="decimal" w:pos="7470" w:leader="none"/>
          <w:tab w:val="left" w:pos="7920" w:leader="none"/>
          <w:tab w:val="decimal" w:pos="8910" w:leader="none"/>
        </w:tabs>
        <w:suppressAutoHyphens w:val="true"/>
        <w:jc w:val="both"/>
        <w:rPr>
          <w:spacing w:val="-2"/>
          <w:kern w:val="2"/>
        </w:rPr>
      </w:pPr>
      <w:r>
        <w:rPr>
          <w:spacing w:val="-2"/>
          <w:kern w:val="2"/>
        </w:rPr>
        <w:tab/>
        <w:t>Net Income Before Cumulative Effect</w:t>
        <w:tab/>
      </w:r>
      <w:r>
        <w:rPr>
          <w:spacing w:val="-2"/>
          <w:kern w:val="2"/>
          <w:sz w:val="19"/>
        </w:rPr>
        <w:tab/>
        <w:t>$</w:t>
        <w:tab/>
        <w:t>3,473</w:t>
        <w:tab/>
        <w:t>$</w:t>
        <w:tab/>
        <w:t>1,691</w:t>
        <w:tab/>
        <w:t>$</w:t>
        <w:tab/>
        <w:t>5,164</w:t>
      </w:r>
    </w:p>
    <w:p>
      <w:pPr>
        <w:pStyle w:val="Normal"/>
        <w:tabs>
          <w:tab w:val="clear" w:pos="720"/>
          <w:tab w:val="left" w:pos="630" w:leader="none"/>
          <w:tab w:val="left" w:pos="4770" w:leader="dot"/>
          <w:tab w:val="left" w:pos="5040" w:leader="none"/>
          <w:tab w:val="decimal" w:pos="6030" w:leader="none"/>
          <w:tab w:val="left" w:pos="6480" w:leader="none"/>
          <w:tab w:val="decimal" w:pos="7470" w:leader="none"/>
          <w:tab w:val="left" w:pos="7920" w:leader="none"/>
          <w:tab w:val="decimal" w:pos="8910" w:leader="none"/>
        </w:tabs>
        <w:suppressAutoHyphens w:val="true"/>
        <w:jc w:val="both"/>
        <w:rPr>
          <w:spacing w:val="-2"/>
          <w:kern w:val="2"/>
          <w:sz w:val="19"/>
        </w:rPr>
      </w:pPr>
      <w:r>
        <w:rPr>
          <w:spacing w:val="-2"/>
          <w:kern w:val="2"/>
        </w:rPr>
        <w:tab/>
        <w:t>Cumulative Effect of Accounting Changes</w:t>
      </w:r>
    </w:p>
    <w:p>
      <w:pPr>
        <w:pStyle w:val="Normal"/>
        <w:tabs>
          <w:tab w:val="clear" w:pos="720"/>
          <w:tab w:val="left" w:pos="900" w:leader="none"/>
          <w:tab w:val="left" w:pos="4770" w:leader="dot"/>
          <w:tab w:val="left" w:pos="5040" w:leader="none"/>
          <w:tab w:val="decimal" w:pos="6030" w:leader="none"/>
          <w:tab w:val="left" w:pos="6480" w:leader="none"/>
          <w:tab w:val="decimal" w:pos="7470" w:leader="none"/>
          <w:tab w:val="left" w:pos="7920" w:leader="none"/>
          <w:tab w:val="decimal" w:pos="8910" w:leader="none"/>
        </w:tabs>
        <w:suppressAutoHyphens w:val="true"/>
        <w:jc w:val="both"/>
        <w:rPr>
          <w:spacing w:val="-2"/>
          <w:kern w:val="2"/>
        </w:rPr>
      </w:pPr>
      <w:r>
        <w:rPr>
          <w:spacing w:val="-2"/>
          <w:kern w:val="2"/>
        </w:rPr>
        <w:tab/>
        <w:t>-Adoption of SFAS No.133</w:t>
        <w:tab/>
      </w:r>
      <w:r>
        <w:rPr>
          <w:spacing w:val="-2"/>
          <w:kern w:val="2"/>
          <w:sz w:val="19"/>
        </w:rPr>
        <w:tab/>
        <w:tab/>
        <w:t>833</w:t>
        <w:tab/>
        <w:tab/>
        <w:t>405</w:t>
        <w:tab/>
        <w:tab/>
        <w:t>1,238</w:t>
      </w:r>
    </w:p>
    <w:p>
      <w:pPr>
        <w:pStyle w:val="Normal"/>
        <w:tabs>
          <w:tab w:val="clear" w:pos="720"/>
          <w:tab w:val="left" w:pos="900" w:leader="none"/>
          <w:tab w:val="left" w:pos="4770" w:leader="dot"/>
          <w:tab w:val="left" w:pos="5040" w:leader="none"/>
          <w:tab w:val="decimal" w:pos="6030" w:leader="none"/>
          <w:tab w:val="left" w:pos="6480" w:leader="none"/>
          <w:tab w:val="decimal" w:pos="7470" w:leader="none"/>
          <w:tab w:val="left" w:pos="7920" w:leader="none"/>
          <w:tab w:val="decimal" w:pos="8910" w:leader="none"/>
        </w:tabs>
        <w:suppressAutoHyphens w:val="true"/>
        <w:jc w:val="both"/>
        <w:rPr/>
      </w:pPr>
      <w:r>
        <w:rPr>
          <w:spacing w:val="-2"/>
          <w:kern w:val="2"/>
        </w:rPr>
        <w:tab/>
        <w:t>-Change in Inventory Valuation Method</w:t>
        <w:tab/>
      </w:r>
      <w:r>
        <w:rPr>
          <w:spacing w:val="-2"/>
          <w:kern w:val="2"/>
          <w:sz w:val="19"/>
        </w:rPr>
        <w:tab/>
      </w:r>
      <w:r>
        <w:rPr>
          <w:spacing w:val="-2"/>
          <w:kern w:val="2"/>
          <w:sz w:val="19"/>
          <w:u w:val="single"/>
        </w:rPr>
        <w:tab/>
        <w:t>(126</w:t>
      </w:r>
      <w:r>
        <w:rPr>
          <w:spacing w:val="-2"/>
          <w:kern w:val="2"/>
          <w:sz w:val="19"/>
        </w:rPr>
        <w:t>)</w:t>
        <w:tab/>
      </w:r>
      <w:r>
        <w:rPr>
          <w:spacing w:val="-2"/>
          <w:kern w:val="2"/>
          <w:sz w:val="19"/>
          <w:u w:val="single"/>
        </w:rPr>
        <w:tab/>
        <w:t>(61</w:t>
      </w:r>
      <w:r>
        <w:rPr>
          <w:spacing w:val="-2"/>
          <w:kern w:val="2"/>
          <w:sz w:val="19"/>
        </w:rPr>
        <w:t>)</w:t>
        <w:tab/>
      </w:r>
      <w:r>
        <w:rPr>
          <w:spacing w:val="-2"/>
          <w:kern w:val="2"/>
          <w:sz w:val="19"/>
          <w:u w:val="single"/>
        </w:rPr>
        <w:tab/>
        <w:t>(187</w:t>
      </w:r>
      <w:r>
        <w:rPr>
          <w:spacing w:val="-2"/>
          <w:kern w:val="2"/>
          <w:sz w:val="19"/>
        </w:rPr>
        <w:t>)</w:t>
      </w:r>
    </w:p>
    <w:p>
      <w:pPr>
        <w:pStyle w:val="Normal"/>
        <w:tabs>
          <w:tab w:val="clear" w:pos="720"/>
          <w:tab w:val="left" w:pos="630" w:leader="none"/>
          <w:tab w:val="left" w:pos="4770" w:leader="dot"/>
          <w:tab w:val="left" w:pos="5040" w:leader="none"/>
          <w:tab w:val="decimal" w:pos="6030" w:leader="none"/>
          <w:tab w:val="left" w:pos="6480" w:leader="none"/>
          <w:tab w:val="decimal" w:pos="7470" w:leader="none"/>
          <w:tab w:val="left" w:pos="7920" w:leader="none"/>
          <w:tab w:val="decimal" w:pos="8910" w:leader="none"/>
        </w:tabs>
        <w:suppressAutoHyphens w:val="true"/>
        <w:spacing w:before="60" w:after="0"/>
        <w:jc w:val="both"/>
        <w:rPr>
          <w:spacing w:val="-2"/>
          <w:kern w:val="2"/>
          <w:sz w:val="19"/>
        </w:rPr>
      </w:pPr>
      <w:r>
        <w:rPr>
          <w:spacing w:val="-2"/>
          <w:kern w:val="2"/>
        </w:rPr>
        <w:tab/>
        <w:t>Net Income</w:t>
        <w:tab/>
      </w:r>
      <w:r>
        <w:rPr>
          <w:spacing w:val="-2"/>
          <w:kern w:val="2"/>
          <w:sz w:val="19"/>
        </w:rPr>
        <w:tab/>
      </w:r>
      <w:r>
        <w:rPr>
          <w:spacing w:val="-2"/>
          <w:kern w:val="2"/>
          <w:sz w:val="19"/>
          <w:u w:val="double"/>
        </w:rPr>
        <w:t>$</w:t>
        <w:tab/>
        <w:t>4,180</w:t>
      </w:r>
      <w:r>
        <w:rPr>
          <w:spacing w:val="-2"/>
          <w:kern w:val="2"/>
          <w:sz w:val="19"/>
        </w:rPr>
        <w:tab/>
      </w:r>
      <w:r>
        <w:rPr>
          <w:spacing w:val="-2"/>
          <w:kern w:val="2"/>
          <w:sz w:val="19"/>
          <w:u w:val="double"/>
        </w:rPr>
        <w:t>$</w:t>
      </w:r>
      <w:r>
        <w:rPr>
          <w:rFonts w:eastAsia="Symbol" w:cs="Symbol" w:ascii="Symbol" w:hAnsi="Symbol"/>
          <w:spacing w:val="-2"/>
          <w:kern w:val="2"/>
          <w:sz w:val="18"/>
          <w:u w:val="double"/>
        </w:rPr>
        <w:sym w:font="Symbol" w:char="f020"/>
      </w:r>
      <w:r>
        <w:rPr>
          <w:spacing w:val="-2"/>
          <w:kern w:val="2"/>
          <w:sz w:val="19"/>
          <w:u w:val="double"/>
        </w:rPr>
        <w:tab/>
        <w:t>2,035</w:t>
      </w:r>
      <w:r>
        <w:rPr>
          <w:spacing w:val="-2"/>
          <w:kern w:val="2"/>
          <w:sz w:val="19"/>
        </w:rPr>
        <w:tab/>
      </w:r>
      <w:r>
        <w:rPr>
          <w:spacing w:val="-2"/>
          <w:kern w:val="2"/>
          <w:sz w:val="19"/>
          <w:u w:val="double"/>
        </w:rPr>
        <w:t>$</w:t>
        <w:tab/>
        <w:t>6,215</w:t>
      </w:r>
    </w:p>
    <w:p>
      <w:pPr>
        <w:pStyle w:val="Normal"/>
        <w:tabs>
          <w:tab w:val="clear" w:pos="720"/>
          <w:tab w:val="left" w:pos="630" w:leader="none"/>
          <w:tab w:val="left" w:pos="4770" w:leader="dot"/>
          <w:tab w:val="left" w:pos="5040" w:leader="none"/>
          <w:tab w:val="right" w:pos="6120" w:leader="none"/>
          <w:tab w:val="left" w:pos="6480" w:leader="none"/>
          <w:tab w:val="right" w:pos="7560" w:leader="none"/>
          <w:tab w:val="left" w:pos="7920" w:leader="none"/>
          <w:tab w:val="right" w:pos="9000" w:leader="none"/>
        </w:tabs>
        <w:suppressAutoHyphens w:val="true"/>
        <w:jc w:val="both"/>
        <w:rPr>
          <w:spacing w:val="-2"/>
          <w:kern w:val="2"/>
          <w:sz w:val="19"/>
        </w:rPr>
      </w:pPr>
      <w:r>
        <w:rPr>
          <w:spacing w:val="-2"/>
          <w:kern w:val="2"/>
          <w:sz w:val="19"/>
        </w:rPr>
      </w:r>
    </w:p>
    <w:p>
      <w:pPr>
        <w:pStyle w:val="Normal"/>
        <w:tabs>
          <w:tab w:val="clear" w:pos="720"/>
          <w:tab w:val="left" w:pos="630" w:leader="none"/>
          <w:tab w:val="left" w:pos="4770" w:leader="dot"/>
          <w:tab w:val="left" w:pos="5040" w:leader="none"/>
          <w:tab w:val="right" w:pos="6120" w:leader="none"/>
          <w:tab w:val="left" w:pos="6480" w:leader="none"/>
          <w:tab w:val="right" w:pos="7560" w:leader="none"/>
          <w:tab w:val="left" w:pos="7920" w:leader="none"/>
          <w:tab w:val="right" w:pos="9000" w:leader="none"/>
        </w:tabs>
        <w:suppressAutoHyphens w:val="true"/>
        <w:jc w:val="both"/>
        <w:rPr/>
      </w:pPr>
      <w:r>
        <w:rPr/>
      </w:r>
    </w:p>
    <w:p>
      <w:pPr>
        <w:pStyle w:val="Heading3"/>
        <w:tabs>
          <w:tab w:val="clear" w:pos="360"/>
          <w:tab w:val="clear" w:pos="4320"/>
          <w:tab w:val="left" w:pos="5040" w:leader="none"/>
          <w:tab w:val="center" w:pos="7020" w:leader="none"/>
          <w:tab w:val="right" w:pos="9000" w:leader="none"/>
        </w:tabs>
        <w:ind w:hanging="0" w:start="0"/>
        <w:jc w:val="start"/>
        <w:rPr/>
      </w:pPr>
      <w:r>
        <w:rPr>
          <w:sz w:val="18"/>
        </w:rPr>
        <w:tab/>
      </w:r>
      <w:r>
        <w:rPr>
          <w:sz w:val="18"/>
          <w:u w:val="single"/>
        </w:rPr>
        <w:tab/>
        <w:t>Recap of Per Unit March 31, 2001</w:t>
        <w:tab/>
      </w:r>
    </w:p>
    <w:p>
      <w:pPr>
        <w:pStyle w:val="Normal"/>
        <w:tabs>
          <w:tab w:val="left" w:pos="360" w:leader="none"/>
          <w:tab w:val="left" w:pos="720" w:leader="none"/>
          <w:tab w:val="left" w:pos="5040" w:leader="none"/>
          <w:tab w:val="center" w:pos="6300" w:leader="none"/>
          <w:tab w:val="right" w:pos="7560" w:leader="none"/>
        </w:tabs>
        <w:suppressAutoHyphens w:val="true"/>
        <w:spacing w:before="80" w:after="0"/>
        <w:jc w:val="both"/>
        <w:rPr/>
      </w:pPr>
      <w:r>
        <w:rPr>
          <w:spacing w:val="-2"/>
          <w:kern w:val="2"/>
          <w:sz w:val="19"/>
        </w:rPr>
        <w:tab/>
        <w:tab/>
        <w:tab/>
      </w:r>
      <w:r>
        <w:rPr>
          <w:spacing w:val="-2"/>
          <w:kern w:val="2"/>
          <w:u w:val="single"/>
        </w:rPr>
        <w:tab/>
        <w:t>Basic</w:t>
        <w:tab/>
      </w:r>
    </w:p>
    <w:p>
      <w:pPr>
        <w:pStyle w:val="Normal"/>
        <w:tabs>
          <w:tab w:val="left" w:pos="360" w:leader="none"/>
          <w:tab w:val="left" w:pos="720" w:leader="none"/>
          <w:tab w:val="left" w:pos="4680" w:leader="none"/>
          <w:tab w:val="left" w:pos="5040" w:leader="none"/>
          <w:tab w:val="center" w:pos="5580" w:leader="none"/>
          <w:tab w:val="decimal" w:pos="6120" w:leader="none"/>
          <w:tab w:val="left" w:pos="6480" w:leader="none"/>
          <w:tab w:val="center" w:pos="7020" w:leader="none"/>
          <w:tab w:val="right" w:pos="7560" w:leader="none"/>
          <w:tab w:val="left" w:pos="7920" w:leader="none"/>
          <w:tab w:val="center" w:pos="8460" w:leader="none"/>
          <w:tab w:val="right" w:pos="9000" w:leader="none"/>
        </w:tabs>
        <w:suppressAutoHyphens w:val="true"/>
        <w:jc w:val="both"/>
        <w:rPr/>
      </w:pPr>
      <w:r>
        <w:rPr>
          <w:spacing w:val="-2"/>
          <w:kern w:val="2"/>
        </w:rPr>
        <w:tab/>
        <w:tab/>
        <w:tab/>
        <w:tab/>
      </w:r>
      <w:r>
        <w:rPr>
          <w:spacing w:val="-2"/>
          <w:kern w:val="2"/>
          <w:u w:val="single"/>
        </w:rPr>
        <w:tab/>
      </w:r>
      <w:r>
        <w:rPr>
          <w:u w:val="single"/>
        </w:rPr>
        <w:t>Common</w:t>
      </w:r>
      <w:r>
        <w:rPr>
          <w:spacing w:val="-2"/>
          <w:kern w:val="2"/>
          <w:u w:val="single"/>
        </w:rPr>
        <w:tab/>
      </w:r>
      <w:r>
        <w:rPr>
          <w:spacing w:val="-2"/>
          <w:kern w:val="2"/>
        </w:rPr>
        <w:tab/>
      </w:r>
      <w:r>
        <w:rPr>
          <w:spacing w:val="-2"/>
          <w:kern w:val="2"/>
          <w:u w:val="single"/>
        </w:rPr>
        <w:tab/>
      </w:r>
      <w:r>
        <w:rPr>
          <w:u w:val="single"/>
        </w:rPr>
        <w:t>Subordinated</w:t>
      </w:r>
      <w:r>
        <w:rPr>
          <w:spacing w:val="-2"/>
          <w:kern w:val="2"/>
          <w:u w:val="single"/>
        </w:rPr>
        <w:tab/>
      </w:r>
      <w:r>
        <w:rPr/>
        <w:tab/>
      </w:r>
      <w:r>
        <w:rPr>
          <w:u w:val="single"/>
        </w:rPr>
        <w:tab/>
        <w:t>Diluted</w:t>
      </w:r>
      <w:r>
        <w:rPr>
          <w:spacing w:val="-2"/>
          <w:kern w:val="2"/>
          <w:u w:val="single"/>
        </w:rPr>
        <w:tab/>
      </w:r>
    </w:p>
    <w:p>
      <w:pPr>
        <w:pStyle w:val="Normal"/>
        <w:tabs>
          <w:tab w:val="clear" w:pos="720"/>
          <w:tab w:val="left" w:pos="630" w:leader="none"/>
          <w:tab w:val="left" w:pos="900" w:leader="none"/>
          <w:tab w:val="left" w:pos="4770" w:leader="dot"/>
          <w:tab w:val="left" w:pos="5040" w:leader="none"/>
          <w:tab w:val="right" w:pos="6120" w:leader="none"/>
          <w:tab w:val="left" w:pos="6480" w:leader="none"/>
          <w:tab w:val="right" w:pos="7560" w:leader="none"/>
          <w:tab w:val="left" w:pos="7920" w:leader="none"/>
          <w:tab w:val="right" w:pos="9000" w:leader="none"/>
        </w:tabs>
        <w:suppressAutoHyphens w:val="true"/>
        <w:jc w:val="both"/>
        <w:rPr/>
      </w:pPr>
      <w:r>
        <w:rPr>
          <w:spacing w:val="-2"/>
          <w:kern w:val="2"/>
        </w:rPr>
        <w:tab/>
        <w:t>Net Income Before Cumulative Effect</w:t>
        <w:tab/>
      </w:r>
      <w:r>
        <w:rPr>
          <w:spacing w:val="-2"/>
          <w:kern w:val="2"/>
          <w:sz w:val="19"/>
        </w:rPr>
        <w:tab/>
        <w:t>$</w:t>
        <w:tab/>
        <w:t>0.19</w:t>
        <w:tab/>
        <w:t>$</w:t>
        <w:tab/>
        <w:t>0.19</w:t>
        <w:tab/>
        <w:t>$</w:t>
        <w:tab/>
        <w:t>0.19</w:t>
      </w:r>
    </w:p>
    <w:p>
      <w:pPr>
        <w:pStyle w:val="Normal"/>
        <w:tabs>
          <w:tab w:val="clear" w:pos="720"/>
          <w:tab w:val="left" w:pos="630" w:leader="none"/>
          <w:tab w:val="left" w:pos="4770" w:leader="dot"/>
          <w:tab w:val="left" w:pos="5040" w:leader="none"/>
          <w:tab w:val="right" w:pos="6120" w:leader="none"/>
          <w:tab w:val="left" w:pos="6480" w:leader="none"/>
          <w:tab w:val="right" w:pos="7560" w:leader="none"/>
          <w:tab w:val="left" w:pos="7920" w:leader="none"/>
          <w:tab w:val="right" w:pos="9000" w:leader="none"/>
        </w:tabs>
        <w:suppressAutoHyphens w:val="true"/>
        <w:jc w:val="both"/>
        <w:rPr>
          <w:spacing w:val="-2"/>
          <w:kern w:val="2"/>
        </w:rPr>
      </w:pPr>
      <w:r>
        <w:rPr>
          <w:spacing w:val="-2"/>
          <w:kern w:val="2"/>
        </w:rPr>
        <w:tab/>
        <w:t>Cumulative Effect of Accounting Changes</w:t>
      </w:r>
    </w:p>
    <w:p>
      <w:pPr>
        <w:pStyle w:val="Normal"/>
        <w:tabs>
          <w:tab w:val="clear" w:pos="720"/>
          <w:tab w:val="left" w:pos="630" w:leader="none"/>
          <w:tab w:val="left" w:pos="900" w:leader="none"/>
          <w:tab w:val="left" w:pos="4770" w:leader="dot"/>
          <w:tab w:val="left" w:pos="5040" w:leader="none"/>
          <w:tab w:val="right" w:pos="6120" w:leader="none"/>
          <w:tab w:val="left" w:pos="6480" w:leader="none"/>
          <w:tab w:val="right" w:pos="7560" w:leader="none"/>
          <w:tab w:val="left" w:pos="7920" w:leader="none"/>
          <w:tab w:val="right" w:pos="9000" w:leader="none"/>
        </w:tabs>
        <w:suppressAutoHyphens w:val="true"/>
        <w:jc w:val="both"/>
        <w:rPr/>
      </w:pPr>
      <w:r>
        <w:rPr>
          <w:spacing w:val="-2"/>
          <w:kern w:val="2"/>
        </w:rPr>
        <w:tab/>
        <w:tab/>
        <w:t>-Adoption of SFAS No.133</w:t>
        <w:tab/>
      </w:r>
      <w:r>
        <w:rPr>
          <w:spacing w:val="-2"/>
          <w:kern w:val="2"/>
          <w:sz w:val="19"/>
        </w:rPr>
        <w:tab/>
        <w:tab/>
        <w:t>0.05</w:t>
        <w:tab/>
        <w:tab/>
        <w:t>0.05</w:t>
        <w:tab/>
        <w:tab/>
        <w:t>0.05</w:t>
      </w:r>
    </w:p>
    <w:p>
      <w:pPr>
        <w:pStyle w:val="Normal"/>
        <w:tabs>
          <w:tab w:val="clear" w:pos="720"/>
          <w:tab w:val="left" w:pos="630" w:leader="none"/>
          <w:tab w:val="left" w:pos="900" w:leader="none"/>
          <w:tab w:val="left" w:pos="4770" w:leader="dot"/>
          <w:tab w:val="left" w:pos="5040" w:leader="none"/>
          <w:tab w:val="right" w:pos="6210" w:leader="none"/>
          <w:tab w:val="left" w:pos="6480" w:leader="none"/>
          <w:tab w:val="right" w:pos="7650" w:leader="none"/>
          <w:tab w:val="left" w:pos="7920" w:leader="none"/>
          <w:tab w:val="right" w:pos="9090" w:leader="none"/>
        </w:tabs>
        <w:suppressAutoHyphens w:val="true"/>
        <w:spacing w:before="60" w:after="0"/>
        <w:jc w:val="both"/>
        <w:rPr/>
      </w:pPr>
      <w:r>
        <w:rPr>
          <w:spacing w:val="-2"/>
          <w:kern w:val="2"/>
        </w:rPr>
        <w:tab/>
        <w:tab/>
        <w:t>-Change in Inventory Valuation Method</w:t>
      </w:r>
      <w:r>
        <w:rPr/>
        <w:t xml:space="preserve"> </w:t>
        <w:tab/>
        <w:tab/>
      </w:r>
      <w:r>
        <w:rPr>
          <w:spacing w:val="-2"/>
          <w:kern w:val="2"/>
          <w:sz w:val="19"/>
          <w:u w:val="single"/>
        </w:rPr>
        <w:tab/>
        <w:t>(0.01</w:t>
      </w:r>
      <w:r>
        <w:rPr>
          <w:spacing w:val="-2"/>
          <w:kern w:val="2"/>
          <w:sz w:val="19"/>
        </w:rPr>
        <w:t>)</w:t>
        <w:tab/>
      </w:r>
      <w:r>
        <w:rPr>
          <w:spacing w:val="-2"/>
          <w:kern w:val="2"/>
          <w:sz w:val="19"/>
          <w:u w:val="single"/>
        </w:rPr>
        <w:tab/>
        <w:t>(0.01</w:t>
      </w:r>
      <w:r>
        <w:rPr>
          <w:spacing w:val="-2"/>
          <w:kern w:val="2"/>
          <w:sz w:val="19"/>
        </w:rPr>
        <w:t>)</w:t>
        <w:tab/>
      </w:r>
      <w:r>
        <w:rPr>
          <w:spacing w:val="-2"/>
          <w:kern w:val="2"/>
          <w:sz w:val="19"/>
          <w:u w:val="single"/>
        </w:rPr>
        <w:tab/>
        <w:t>(0.01</w:t>
      </w:r>
      <w:r>
        <w:rPr>
          <w:spacing w:val="-2"/>
          <w:kern w:val="2"/>
          <w:sz w:val="19"/>
        </w:rPr>
        <w:t>)</w:t>
      </w:r>
    </w:p>
    <w:p>
      <w:pPr>
        <w:pStyle w:val="Normal"/>
        <w:tabs>
          <w:tab w:val="clear" w:pos="720"/>
          <w:tab w:val="left" w:pos="630" w:leader="none"/>
          <w:tab w:val="left" w:pos="900" w:leader="none"/>
          <w:tab w:val="left" w:pos="4770" w:leader="dot"/>
          <w:tab w:val="left" w:pos="5040" w:leader="none"/>
          <w:tab w:val="right" w:pos="6120" w:leader="none"/>
          <w:tab w:val="left" w:pos="6480" w:leader="none"/>
          <w:tab w:val="right" w:pos="7560" w:leader="none"/>
          <w:tab w:val="left" w:pos="7920" w:leader="none"/>
          <w:tab w:val="right" w:pos="9000" w:leader="none"/>
        </w:tabs>
        <w:suppressAutoHyphens w:val="true"/>
        <w:spacing w:before="60" w:after="0"/>
        <w:jc w:val="both"/>
        <w:rPr>
          <w:spacing w:val="-2"/>
          <w:kern w:val="2"/>
          <w:sz w:val="19"/>
        </w:rPr>
      </w:pPr>
      <w:r>
        <w:rPr/>
        <w:tab/>
      </w:r>
      <w:r>
        <w:rPr>
          <w:spacing w:val="-2"/>
          <w:kern w:val="2"/>
        </w:rPr>
        <w:t>Net Income</w:t>
        <w:tab/>
      </w:r>
      <w:r>
        <w:rPr>
          <w:spacing w:val="-2"/>
          <w:kern w:val="2"/>
          <w:sz w:val="19"/>
        </w:rPr>
        <w:tab/>
      </w:r>
      <w:r>
        <w:rPr>
          <w:spacing w:val="-2"/>
          <w:kern w:val="2"/>
          <w:sz w:val="19"/>
          <w:u w:val="double"/>
        </w:rPr>
        <w:t>$</w:t>
        <w:tab/>
        <w:t>0.23</w:t>
      </w:r>
      <w:r>
        <w:rPr>
          <w:spacing w:val="-2"/>
          <w:kern w:val="2"/>
          <w:sz w:val="19"/>
        </w:rPr>
        <w:tab/>
      </w:r>
      <w:r>
        <w:rPr>
          <w:spacing w:val="-2"/>
          <w:kern w:val="2"/>
          <w:sz w:val="19"/>
          <w:u w:val="double"/>
        </w:rPr>
        <w:t>$</w:t>
        <w:tab/>
        <w:t>0.23</w:t>
      </w:r>
      <w:r>
        <w:rPr>
          <w:spacing w:val="-2"/>
          <w:kern w:val="2"/>
          <w:sz w:val="19"/>
        </w:rPr>
        <w:tab/>
      </w:r>
      <w:r>
        <w:rPr>
          <w:spacing w:val="-2"/>
          <w:kern w:val="2"/>
          <w:sz w:val="19"/>
          <w:u w:val="double"/>
        </w:rPr>
        <w:t>$</w:t>
        <w:tab/>
        <w:t>0.23</w:t>
      </w:r>
      <w:r>
        <w:br w:type="page"/>
      </w:r>
    </w:p>
    <w:p>
      <w:pPr>
        <w:pStyle w:val="Normal"/>
        <w:tabs>
          <w:tab w:val="clear" w:pos="720"/>
          <w:tab w:val="left" w:pos="630" w:leader="none"/>
          <w:tab w:val="left" w:pos="4770" w:leader="dot"/>
          <w:tab w:val="left" w:pos="5040" w:leader="none"/>
          <w:tab w:val="right" w:pos="6120" w:leader="none"/>
          <w:tab w:val="left" w:pos="6480" w:leader="none"/>
          <w:tab w:val="right" w:pos="7560" w:leader="none"/>
          <w:tab w:val="left" w:pos="7920" w:leader="none"/>
          <w:tab w:val="right" w:pos="9000" w:leader="none"/>
        </w:tabs>
        <w:suppressAutoHyphens w:val="true"/>
        <w:jc w:val="both"/>
        <w:rPr>
          <w:spacing w:val="-2"/>
          <w:kern w:val="2"/>
          <w:sz w:val="19"/>
        </w:rPr>
      </w:pPr>
      <w:r>
        <w:rPr>
          <w:spacing w:val="-2"/>
          <w:kern w:val="2"/>
          <w:sz w:val="19"/>
        </w:rPr>
      </w:r>
    </w:p>
    <w:p>
      <w:pPr>
        <w:pStyle w:val="Normal"/>
        <w:tabs>
          <w:tab w:val="clear" w:pos="720"/>
          <w:tab w:val="left" w:pos="360" w:leader="none"/>
        </w:tabs>
        <w:jc w:val="both"/>
        <w:rPr>
          <w:b/>
          <w:spacing w:val="-2"/>
          <w:kern w:val="2"/>
          <w:sz w:val="21"/>
        </w:rPr>
      </w:pPr>
      <w:r>
        <w:rPr>
          <w:b/>
          <w:spacing w:val="-2"/>
          <w:kern w:val="2"/>
          <w:sz w:val="21"/>
        </w:rPr>
      </w:r>
    </w:p>
    <w:p>
      <w:pPr>
        <w:pStyle w:val="Normal"/>
        <w:tabs>
          <w:tab w:val="clear" w:pos="720"/>
          <w:tab w:val="left" w:pos="360" w:leader="none"/>
        </w:tabs>
        <w:jc w:val="both"/>
        <w:rPr>
          <w:spacing w:val="-2"/>
          <w:kern w:val="2"/>
          <w:sz w:val="21"/>
        </w:rPr>
      </w:pPr>
      <w:r>
        <w:rPr>
          <w:b/>
          <w:spacing w:val="-2"/>
          <w:kern w:val="2"/>
          <w:sz w:val="21"/>
        </w:rPr>
        <w:t>6.</w:t>
        <w:tab/>
        <w:t>Litigation and Other Contingencies</w:t>
      </w:r>
    </w:p>
    <w:p>
      <w:pPr>
        <w:pStyle w:val="BodyTextIndent"/>
        <w:tabs>
          <w:tab w:val="clear" w:pos="1710"/>
          <w:tab w:val="clear" w:pos="8294"/>
          <w:tab w:val="left" w:pos="346" w:leader="none"/>
        </w:tabs>
        <w:spacing w:lineRule="exact" w:line="240"/>
        <w:ind w:hanging="0" w:start="0" w:end="0"/>
        <w:rPr>
          <w:spacing w:val="-2"/>
          <w:kern w:val="2"/>
          <w:sz w:val="21"/>
        </w:rPr>
      </w:pPr>
      <w:r>
        <w:rPr>
          <w:spacing w:val="-2"/>
          <w:kern w:val="2"/>
          <w:sz w:val="21"/>
        </w:rPr>
      </w:r>
    </w:p>
    <w:p>
      <w:pPr>
        <w:pStyle w:val="Normal"/>
        <w:tabs>
          <w:tab w:val="clear" w:pos="720"/>
          <w:tab w:val="left" w:pos="360" w:leader="none"/>
        </w:tabs>
        <w:suppressAutoHyphens w:val="true"/>
        <w:jc w:val="both"/>
        <w:rPr>
          <w:spacing w:val="-2"/>
          <w:kern w:val="2"/>
          <w:sz w:val="21"/>
        </w:rPr>
      </w:pPr>
      <w:r>
        <w:rPr>
          <w:spacing w:val="-2"/>
          <w:kern w:val="2"/>
          <w:sz w:val="21"/>
        </w:rPr>
        <w:tab/>
        <w:t xml:space="preserve">EOTT is, in the ordinary course of business, a defendant in various lawsuits, some of which are covered in whole or in part by insurance.  The Partnership is responsible for all litigation and other claims relating to the </w:t>
      </w:r>
    </w:p>
    <w:p>
      <w:pPr>
        <w:pStyle w:val="Normal"/>
        <w:tabs>
          <w:tab w:val="clear" w:pos="720"/>
          <w:tab w:val="left" w:pos="360" w:leader="none"/>
        </w:tabs>
        <w:suppressAutoHyphens w:val="true"/>
        <w:jc w:val="both"/>
        <w:rPr>
          <w:spacing w:val="-2"/>
          <w:kern w:val="2"/>
          <w:sz w:val="21"/>
        </w:rPr>
      </w:pPr>
      <w:r>
        <w:rPr>
          <w:spacing w:val="-2"/>
          <w:kern w:val="2"/>
          <w:sz w:val="21"/>
        </w:rPr>
        <w:t>business acquired from EOTT Energy Corp., although the Partnership will be entitled to the benefit of certain insurance maintained by Enron covering occurrences prior to the closing of the Partnership's initial public offering.  The Partnership believes that the ultimate resolution of litigation, individually and in the aggregate, will not have a material adverse impact on the Partnership's financial position or results of operations.  Various legal actions have arisen in the ordinary course of business, the most significant of which are discussed in “Part I, Item 3. Legal Proceedings” of EOTT’s Annual Report filed on Form 10–K for the year ended December 31, 2000.</w:t>
      </w:r>
    </w:p>
    <w:p>
      <w:pPr>
        <w:pStyle w:val="Normal"/>
        <w:tabs>
          <w:tab w:val="clear" w:pos="720"/>
          <w:tab w:val="left" w:pos="360" w:leader="none"/>
        </w:tabs>
        <w:suppressAutoHyphens w:val="true"/>
        <w:jc w:val="both"/>
        <w:rPr>
          <w:spacing w:val="-2"/>
          <w:kern w:val="2"/>
          <w:sz w:val="21"/>
        </w:rPr>
      </w:pPr>
      <w:r>
        <w:rPr>
          <w:spacing w:val="-2"/>
          <w:kern w:val="2"/>
          <w:sz w:val="21"/>
        </w:rPr>
      </w:r>
    </w:p>
    <w:p>
      <w:pPr>
        <w:pStyle w:val="Normal"/>
        <w:tabs>
          <w:tab w:val="clear" w:pos="720"/>
          <w:tab w:val="left" w:pos="360" w:leader="none"/>
        </w:tabs>
        <w:jc w:val="both"/>
        <w:rPr>
          <w:spacing w:val="-2"/>
          <w:kern w:val="2"/>
          <w:sz w:val="21"/>
        </w:rPr>
      </w:pPr>
      <w:r>
        <w:rPr>
          <w:spacing w:val="-2"/>
          <w:kern w:val="2"/>
          <w:sz w:val="21"/>
        </w:rPr>
        <w:tab/>
        <w:t>The Partnership believes that it has obtained or has applied for all of the necessary permits required by federal, state, and local environmental agencies for the operation of its business.  Further, the Partnership believes that there are no outstanding liabilities or claims relating to environmental matters individually, and in the aggregate, which would have a material adverse impact on the Partnership’s financial position or results of operations.</w:t>
      </w:r>
    </w:p>
    <w:p>
      <w:pPr>
        <w:pStyle w:val="Normal"/>
        <w:tabs>
          <w:tab w:val="clear" w:pos="720"/>
          <w:tab w:val="left" w:pos="360" w:leader="none"/>
        </w:tabs>
        <w:jc w:val="both"/>
        <w:rPr>
          <w:spacing w:val="-2"/>
          <w:kern w:val="2"/>
          <w:sz w:val="21"/>
        </w:rPr>
      </w:pPr>
      <w:r>
        <w:rPr>
          <w:spacing w:val="-2"/>
          <w:kern w:val="2"/>
          <w:sz w:val="21"/>
        </w:rPr>
      </w:r>
    </w:p>
    <w:p>
      <w:pPr>
        <w:pStyle w:val="Normal"/>
        <w:tabs>
          <w:tab w:val="clear" w:pos="720"/>
          <w:tab w:val="left" w:pos="-1440" w:leader="none"/>
          <w:tab w:val="left" w:pos="-720" w:leader="none"/>
          <w:tab w:val="left" w:pos="355" w:leader="none"/>
        </w:tabs>
        <w:jc w:val="both"/>
        <w:rPr>
          <w:spacing w:val="-2"/>
          <w:kern w:val="2"/>
          <w:sz w:val="21"/>
        </w:rPr>
      </w:pPr>
      <w:r>
        <w:rPr>
          <w:spacing w:val="-2"/>
          <w:kern w:val="2"/>
          <w:sz w:val="21"/>
        </w:rPr>
      </w:r>
    </w:p>
    <w:p>
      <w:pPr>
        <w:pStyle w:val="Normal"/>
        <w:tabs>
          <w:tab w:val="clear" w:pos="720"/>
          <w:tab w:val="left" w:pos="360" w:leader="none"/>
        </w:tabs>
        <w:jc w:val="both"/>
        <w:rPr>
          <w:b/>
          <w:sz w:val="21"/>
        </w:rPr>
      </w:pPr>
      <w:r>
        <w:rPr>
          <w:b/>
          <w:sz w:val="21"/>
        </w:rPr>
        <w:t>7.</w:t>
        <w:tab/>
        <w:t>Business Segment Information</w:t>
      </w:r>
    </w:p>
    <w:p>
      <w:pPr>
        <w:pStyle w:val="Normal"/>
        <w:tabs>
          <w:tab w:val="left" w:pos="-1440" w:leader="none"/>
          <w:tab w:val="left" w:pos="-720" w:leader="none"/>
          <w:tab w:val="left" w:pos="0" w:leader="none"/>
          <w:tab w:val="left" w:pos="360" w:leader="none"/>
          <w:tab w:val="left" w:pos="720" w:leader="none"/>
        </w:tabs>
        <w:suppressAutoHyphens w:val="true"/>
        <w:jc w:val="both"/>
        <w:rPr>
          <w:sz w:val="21"/>
        </w:rPr>
      </w:pPr>
      <w:r>
        <w:rPr>
          <w:sz w:val="21"/>
        </w:rPr>
        <w:t xml:space="preserve"> </w:t>
      </w:r>
    </w:p>
    <w:p>
      <w:pPr>
        <w:pStyle w:val="Normal"/>
        <w:tabs>
          <w:tab w:val="left" w:pos="-1440" w:leader="none"/>
          <w:tab w:val="left" w:pos="-720" w:leader="none"/>
          <w:tab w:val="left" w:pos="0" w:leader="none"/>
          <w:tab w:val="left" w:pos="355" w:leader="none"/>
          <w:tab w:val="left" w:pos="720" w:leader="none"/>
        </w:tabs>
        <w:suppressAutoHyphens w:val="true"/>
        <w:jc w:val="both"/>
        <w:rPr>
          <w:sz w:val="21"/>
        </w:rPr>
      </w:pPr>
      <w:r>
        <w:rPr>
          <w:sz w:val="21"/>
        </w:rPr>
        <w:tab/>
        <w:t>EOTT has three reportable segments, which management considers when making decisions about resources to be allocated and assess its performance: North American Crude Oil - East of Rockies, Pipeline Operations and West Coast Operations.  The North American Crude Oil - East of Rockies segment is organized into five operating regions and primarily purchases, gathers, transports and markets crude oil.  For segment reporting purposes, these five operating regions have been aggregated as one reportable segment due to similarities in their operations as allowed by SFAS No. 131.  The Pipeline Operations segment operates approximately 7,400 active miles of common carrier pipelines operated in 13 states.  The West Coast Operations include crude oil gathering and marketing, refined products marketing and a natural gas liquids business.</w:t>
      </w:r>
    </w:p>
    <w:p>
      <w:pPr>
        <w:pStyle w:val="Normal"/>
        <w:tabs>
          <w:tab w:val="left" w:pos="-1440" w:leader="none"/>
          <w:tab w:val="left" w:pos="-720" w:leader="none"/>
          <w:tab w:val="left" w:pos="0" w:leader="none"/>
          <w:tab w:val="left" w:pos="355" w:leader="none"/>
          <w:tab w:val="left" w:pos="720" w:leader="none"/>
        </w:tabs>
        <w:suppressAutoHyphens w:val="true"/>
        <w:jc w:val="both"/>
        <w:rPr>
          <w:sz w:val="21"/>
        </w:rPr>
      </w:pPr>
      <w:r>
        <w:rPr>
          <w:sz w:val="21"/>
        </w:rPr>
      </w:r>
    </w:p>
    <w:p>
      <w:pPr>
        <w:pStyle w:val="Normal"/>
        <w:tabs>
          <w:tab w:val="left" w:pos="-1440" w:leader="none"/>
          <w:tab w:val="left" w:pos="-720" w:leader="none"/>
          <w:tab w:val="left" w:pos="0" w:leader="none"/>
          <w:tab w:val="left" w:pos="355" w:leader="none"/>
          <w:tab w:val="left" w:pos="720" w:leader="none"/>
        </w:tabs>
        <w:suppressAutoHyphens w:val="true"/>
        <w:jc w:val="both"/>
        <w:rPr>
          <w:sz w:val="21"/>
        </w:rPr>
      </w:pPr>
      <w:r>
        <w:rPr>
          <w:sz w:val="21"/>
        </w:rPr>
        <w:tab/>
        <w:t>The accounting policies of the segments are the same as those described in the summary of significant accounting policies as discussed in Note 2 included in the Partnership’s Annual Report on Form 10-K for the year ended December 31, 2000.  EOTT evaluates the performance of each operating segment based on operating income (loss).  EOTT accounts for intersegment revenue and transfers between North American Crude Oil – East of Rockies, West Coast Operations and Pipeline Operations as if the sales or transfers were to third parties, that is, at current market prices.  Intersegment transportation revenues for Pipeline Operations are based on published pipeline tariffs.</w:t>
      </w:r>
      <w:r>
        <w:br w:type="page"/>
      </w:r>
    </w:p>
    <w:p>
      <w:pPr>
        <w:pStyle w:val="Normal"/>
        <w:widowControl w:val="false"/>
        <w:tabs>
          <w:tab w:val="clear" w:pos="720"/>
          <w:tab w:val="left" w:pos="360" w:leader="none"/>
        </w:tabs>
        <w:rPr>
          <w:b/>
          <w:sz w:val="21"/>
        </w:rPr>
      </w:pPr>
      <w:r>
        <w:rPr>
          <w:b/>
          <w:sz w:val="21"/>
        </w:rPr>
      </w:r>
    </w:p>
    <w:p>
      <w:pPr>
        <w:pStyle w:val="Normal"/>
        <w:widowControl w:val="false"/>
        <w:tabs>
          <w:tab w:val="clear" w:pos="720"/>
          <w:tab w:val="left" w:pos="360" w:leader="none"/>
        </w:tabs>
        <w:rPr>
          <w:b/>
        </w:rPr>
      </w:pPr>
      <w:r>
        <w:rPr>
          <w:b/>
        </w:rPr>
        <w:t>Financial Information by Business Segment</w:t>
      </w:r>
    </w:p>
    <w:p>
      <w:pPr>
        <w:pStyle w:val="Normal"/>
        <w:widowControl w:val="false"/>
        <w:tabs>
          <w:tab w:val="clear" w:pos="720"/>
          <w:tab w:val="left" w:pos="360" w:leader="none"/>
        </w:tabs>
        <w:rPr>
          <w:i/>
          <w:i/>
        </w:rPr>
      </w:pPr>
      <w:r>
        <w:rPr>
          <w:i/>
        </w:rPr>
        <w:t>(In Thousands)</w:t>
      </w:r>
    </w:p>
    <w:p>
      <w:pPr>
        <w:pStyle w:val="Heading4"/>
        <w:tabs>
          <w:tab w:val="clear" w:pos="360"/>
          <w:tab w:val="clear" w:pos="720"/>
          <w:tab w:val="clear" w:pos="3960"/>
          <w:tab w:val="clear" w:pos="4410"/>
          <w:tab w:val="clear" w:pos="5490"/>
          <w:tab w:val="clear" w:pos="5940"/>
          <w:tab w:val="clear" w:pos="6120"/>
          <w:tab w:val="clear" w:pos="6570"/>
          <w:tab w:val="clear" w:pos="7020"/>
          <w:tab w:val="clear" w:pos="8280"/>
          <w:tab w:val="clear" w:pos="8730"/>
          <w:tab w:val="clear" w:pos="9158"/>
          <w:tab w:val="left" w:pos="3600" w:leader="none"/>
          <w:tab w:val="center" w:pos="4140" w:leader="none"/>
          <w:tab w:val="right" w:pos="4590" w:leader="none"/>
          <w:tab w:val="left" w:pos="4860" w:leader="none"/>
          <w:tab w:val="center" w:pos="5310" w:leader="none"/>
          <w:tab w:val="right" w:pos="5760" w:leader="none"/>
          <w:tab w:val="left" w:pos="6030" w:leader="none"/>
          <w:tab w:val="center" w:pos="6480" w:leader="none"/>
          <w:tab w:val="right" w:pos="6930" w:leader="none"/>
          <w:tab w:val="left" w:pos="7200" w:leader="none"/>
          <w:tab w:val="center" w:pos="7650" w:leader="none"/>
          <w:tab w:val="right" w:pos="8100" w:leader="none"/>
          <w:tab w:val="left" w:pos="8370" w:leader="none"/>
          <w:tab w:val="center" w:pos="8820" w:leader="none"/>
          <w:tab w:val="right" w:pos="9270" w:leader="none"/>
        </w:tabs>
        <w:spacing w:lineRule="auto" w:line="240"/>
        <w:ind w:hanging="0" w:start="0"/>
        <w:rPr>
          <w:spacing w:val="-1"/>
          <w:kern w:val="0"/>
        </w:rPr>
      </w:pPr>
      <w:r>
        <w:rPr>
          <w:spacing w:val="-1"/>
          <w:kern w:val="0"/>
        </w:rPr>
        <w:tab/>
        <w:tab/>
        <w:t>North</w:t>
        <w:tab/>
        <w:tab/>
        <w:tab/>
        <w:tab/>
      </w:r>
    </w:p>
    <w:p>
      <w:pPr>
        <w:pStyle w:val="Heading4"/>
        <w:tabs>
          <w:tab w:val="clear" w:pos="360"/>
          <w:tab w:val="clear" w:pos="720"/>
          <w:tab w:val="clear" w:pos="3960"/>
          <w:tab w:val="clear" w:pos="4410"/>
          <w:tab w:val="clear" w:pos="5490"/>
          <w:tab w:val="clear" w:pos="5940"/>
          <w:tab w:val="clear" w:pos="6120"/>
          <w:tab w:val="clear" w:pos="6570"/>
          <w:tab w:val="clear" w:pos="7020"/>
          <w:tab w:val="clear" w:pos="8280"/>
          <w:tab w:val="clear" w:pos="8730"/>
          <w:tab w:val="clear" w:pos="9158"/>
          <w:tab w:val="left" w:pos="3600" w:leader="none"/>
          <w:tab w:val="center" w:pos="4140" w:leader="none"/>
          <w:tab w:val="right" w:pos="4590" w:leader="none"/>
          <w:tab w:val="left" w:pos="4860" w:leader="none"/>
          <w:tab w:val="center" w:pos="5310" w:leader="none"/>
          <w:tab w:val="right" w:pos="5760" w:leader="none"/>
          <w:tab w:val="left" w:pos="6030" w:leader="none"/>
          <w:tab w:val="center" w:pos="6480" w:leader="none"/>
          <w:tab w:val="right" w:pos="6930" w:leader="none"/>
          <w:tab w:val="left" w:pos="7200" w:leader="none"/>
          <w:tab w:val="center" w:pos="7650" w:leader="none"/>
          <w:tab w:val="right" w:pos="8100" w:leader="none"/>
          <w:tab w:val="left" w:pos="8370" w:leader="none"/>
          <w:tab w:val="center" w:pos="8820" w:leader="none"/>
          <w:tab w:val="right" w:pos="9270" w:leader="none"/>
        </w:tabs>
        <w:spacing w:lineRule="auto" w:line="240"/>
        <w:ind w:hanging="0" w:start="0"/>
        <w:rPr>
          <w:spacing w:val="-1"/>
          <w:kern w:val="0"/>
        </w:rPr>
      </w:pPr>
      <w:r>
        <w:rPr>
          <w:spacing w:val="-1"/>
          <w:kern w:val="0"/>
        </w:rPr>
        <w:tab/>
        <w:tab/>
        <w:t>American</w:t>
        <w:tab/>
        <w:tab/>
        <w:tab/>
        <w:tab/>
        <w:tab/>
        <w:tab/>
        <w:t>West</w:t>
        <w:tab/>
        <w:tab/>
        <w:tab/>
        <w:t>Corporate</w:t>
        <w:tab/>
      </w:r>
    </w:p>
    <w:p>
      <w:pPr>
        <w:pStyle w:val="Heading4"/>
        <w:tabs>
          <w:tab w:val="clear" w:pos="360"/>
          <w:tab w:val="clear" w:pos="720"/>
          <w:tab w:val="clear" w:pos="3960"/>
          <w:tab w:val="clear" w:pos="4410"/>
          <w:tab w:val="clear" w:pos="5490"/>
          <w:tab w:val="clear" w:pos="5940"/>
          <w:tab w:val="clear" w:pos="6120"/>
          <w:tab w:val="clear" w:pos="6570"/>
          <w:tab w:val="clear" w:pos="7020"/>
          <w:tab w:val="clear" w:pos="8280"/>
          <w:tab w:val="clear" w:pos="8730"/>
          <w:tab w:val="clear" w:pos="9158"/>
          <w:tab w:val="left" w:pos="3600" w:leader="none"/>
          <w:tab w:val="center" w:pos="4140" w:leader="none"/>
          <w:tab w:val="right" w:pos="4590" w:leader="none"/>
          <w:tab w:val="left" w:pos="4860" w:leader="none"/>
          <w:tab w:val="center" w:pos="5310" w:leader="none"/>
          <w:tab w:val="right" w:pos="5760" w:leader="none"/>
          <w:tab w:val="left" w:pos="6030" w:leader="none"/>
          <w:tab w:val="center" w:pos="6480" w:leader="none"/>
          <w:tab w:val="right" w:pos="6930" w:leader="none"/>
          <w:tab w:val="left" w:pos="7200" w:leader="none"/>
          <w:tab w:val="center" w:pos="7650" w:leader="none"/>
          <w:tab w:val="right" w:pos="8100" w:leader="none"/>
          <w:tab w:val="left" w:pos="8370" w:leader="none"/>
          <w:tab w:val="center" w:pos="8820" w:leader="none"/>
          <w:tab w:val="right" w:pos="9270" w:leader="none"/>
        </w:tabs>
        <w:spacing w:lineRule="exact" w:line="160"/>
        <w:ind w:hanging="0" w:start="0"/>
        <w:rPr/>
      </w:pPr>
      <w:r>
        <w:rPr>
          <w:spacing w:val="-1"/>
          <w:kern w:val="0"/>
        </w:rPr>
        <w:tab/>
        <w:tab/>
        <w:t>Crude Oil</w:t>
        <w:tab/>
        <w:tab/>
        <w:tab/>
        <w:t>Pipeline</w:t>
        <w:tab/>
        <w:tab/>
        <w:tab/>
      </w:r>
      <w:r>
        <w:rPr>
          <w:spacing w:val="-1"/>
        </w:rPr>
        <w:t>Coast</w:t>
      </w:r>
      <w:r>
        <w:rPr>
          <w:spacing w:val="-1"/>
          <w:kern w:val="0"/>
        </w:rPr>
        <w:tab/>
        <w:tab/>
        <w:tab/>
        <w:t>and</w:t>
        <w:tab/>
        <w:tab/>
      </w:r>
    </w:p>
    <w:p>
      <w:pPr>
        <w:pStyle w:val="Normal"/>
        <w:tabs>
          <w:tab w:val="clear" w:pos="720"/>
          <w:tab w:val="left" w:pos="3600" w:leader="none"/>
          <w:tab w:val="center" w:pos="4140" w:leader="none"/>
          <w:tab w:val="right" w:pos="4590" w:leader="none"/>
          <w:tab w:val="left" w:pos="4860" w:leader="none"/>
          <w:tab w:val="center" w:pos="5310" w:leader="none"/>
          <w:tab w:val="right" w:pos="5760" w:leader="none"/>
          <w:tab w:val="left" w:pos="6030" w:leader="none"/>
          <w:tab w:val="center" w:pos="6480" w:leader="none"/>
          <w:tab w:val="right" w:pos="6930" w:leader="none"/>
          <w:tab w:val="left" w:pos="7200" w:leader="none"/>
          <w:tab w:val="center" w:pos="7650" w:leader="none"/>
          <w:tab w:val="right" w:pos="8100" w:leader="none"/>
          <w:tab w:val="left" w:pos="8370" w:leader="none"/>
          <w:tab w:val="center" w:pos="8820" w:leader="none"/>
          <w:tab w:val="right" w:pos="9270" w:leader="none"/>
          <w:tab w:val="right" w:pos="9360" w:leader="none"/>
        </w:tabs>
        <w:suppressAutoHyphens w:val="true"/>
        <w:spacing w:lineRule="exact" w:line="180"/>
        <w:ind w:end="-90"/>
        <w:jc w:val="both"/>
        <w:rPr/>
      </w:pPr>
      <w:r>
        <w:rPr>
          <w:b/>
          <w:spacing w:val="-1"/>
          <w:sz w:val="16"/>
        </w:rPr>
        <w:tab/>
      </w:r>
      <w:r>
        <w:rPr>
          <w:b/>
          <w:spacing w:val="-1"/>
          <w:sz w:val="16"/>
          <w:u w:val="single"/>
        </w:rPr>
        <w:tab/>
        <w:t xml:space="preserve"> - EOR</w:t>
        <w:tab/>
      </w:r>
      <w:r>
        <w:rPr>
          <w:b/>
          <w:spacing w:val="-1"/>
          <w:sz w:val="16"/>
        </w:rPr>
        <w:tab/>
      </w:r>
      <w:r>
        <w:rPr>
          <w:b/>
          <w:spacing w:val="-1"/>
          <w:sz w:val="16"/>
          <w:u w:val="single"/>
        </w:rPr>
        <w:tab/>
        <w:t>Operations</w:t>
        <w:tab/>
      </w:r>
      <w:r>
        <w:rPr>
          <w:b/>
          <w:spacing w:val="-1"/>
          <w:sz w:val="16"/>
        </w:rPr>
        <w:tab/>
      </w:r>
      <w:r>
        <w:rPr>
          <w:b/>
          <w:spacing w:val="-1"/>
          <w:sz w:val="16"/>
          <w:u w:val="single"/>
        </w:rPr>
        <w:tab/>
        <w:t>Operations</w:t>
        <w:tab/>
      </w:r>
      <w:r>
        <w:rPr>
          <w:b/>
          <w:spacing w:val="-1"/>
          <w:sz w:val="16"/>
        </w:rPr>
        <w:tab/>
      </w:r>
      <w:r>
        <w:rPr>
          <w:b/>
          <w:spacing w:val="-1"/>
          <w:sz w:val="16"/>
          <w:u w:val="single"/>
        </w:rPr>
        <w:tab/>
        <w:t>Other  (b)</w:t>
        <w:tab/>
      </w:r>
      <w:r>
        <w:rPr>
          <w:b/>
          <w:spacing w:val="-1"/>
          <w:sz w:val="16"/>
        </w:rPr>
        <w:tab/>
      </w:r>
      <w:r>
        <w:rPr>
          <w:b/>
          <w:spacing w:val="-1"/>
          <w:sz w:val="16"/>
          <w:u w:val="single"/>
        </w:rPr>
        <w:tab/>
        <w:t>Consolidated</w:t>
      </w:r>
    </w:p>
    <w:p>
      <w:pPr>
        <w:pStyle w:val="Heading5"/>
        <w:tabs>
          <w:tab w:val="left" w:pos="-1440" w:leader="none"/>
          <w:tab w:val="left" w:pos="-720" w:leader="none"/>
          <w:tab w:val="left" w:pos="180" w:leader="none"/>
          <w:tab w:val="left" w:pos="3510" w:leader="none"/>
          <w:tab w:val="left" w:pos="3780" w:leader="dot"/>
          <w:tab w:val="left" w:pos="3960" w:leader="none"/>
          <w:tab w:val="center" w:pos="4050" w:leader="none"/>
          <w:tab w:val="decimal" w:pos="4860" w:leader="none"/>
          <w:tab w:val="left" w:pos="5220" w:leader="none"/>
          <w:tab w:val="decimal" w:pos="6120" w:leader="none"/>
          <w:tab w:val="left" w:pos="6480" w:leader="none"/>
          <w:tab w:val="decimal" w:pos="7380" w:leader="none"/>
          <w:tab w:val="left" w:pos="7740" w:leader="none"/>
          <w:tab w:val="decimal" w:pos="8640" w:leader="none"/>
        </w:tabs>
        <w:spacing w:before="60" w:after="0"/>
        <w:ind w:hanging="0" w:start="0"/>
        <w:rPr/>
      </w:pPr>
      <w:r>
        <w:rPr/>
        <w:t>Three Months Ended March 31, 2001</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 w:val="left" w:pos="9450" w:leader="none"/>
        </w:tabs>
        <w:suppressAutoHyphens w:val="true"/>
        <w:spacing w:before="60" w:after="0"/>
        <w:ind w:end="-187"/>
        <w:jc w:val="both"/>
        <w:rPr/>
      </w:pPr>
      <w:r>
        <w:rPr>
          <w:spacing w:val="-1"/>
          <w:sz w:val="18"/>
        </w:rPr>
        <w:t>Revenue from external customers</w:t>
        <w:tab/>
        <w:tab/>
        <w:t>$</w:t>
        <w:tab/>
        <w:t>2,348,472</w:t>
        <w:tab/>
        <w:t>$</w:t>
        <w:tab/>
        <w:t>8,354</w:t>
        <w:tab/>
        <w:t>$</w:t>
        <w:tab/>
        <w:t>187,611</w:t>
        <w:tab/>
        <w:t>$</w:t>
        <w:tab/>
      </w:r>
      <w:r>
        <w:rPr>
          <w:rFonts w:eastAsia="Symbol" w:cs="Symbol" w:ascii="Symbol" w:hAnsi="Symbol"/>
          <w:spacing w:val="-2"/>
          <w:kern w:val="2"/>
        </w:rPr>
        <w:sym w:font="Symbol" w:char="f02d"/>
        <w:sym w:font="Symbol" w:char="f020"/>
      </w:r>
      <w:r>
        <w:rPr>
          <w:rFonts w:eastAsia="Symbol" w:cs="Symbol" w:ascii="Symbol" w:hAnsi="Symbol"/>
          <w:spacing w:val="-1"/>
          <w:sz w:val="18"/>
        </w:rPr>
        <w:sym w:font="Symbol" w:char="f020"/>
        <w:sym w:font="Symbol" w:char="f020"/>
      </w:r>
      <w:r>
        <w:rPr>
          <w:spacing w:val="-1"/>
          <w:sz w:val="18"/>
        </w:rPr>
        <w:tab/>
        <w:t>$</w:t>
        <w:tab/>
        <w:t>2,544,437</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spacing w:val="-1"/>
          <w:sz w:val="18"/>
        </w:rPr>
      </w:pPr>
      <w:r>
        <w:rPr>
          <w:spacing w:val="-1"/>
          <w:sz w:val="18"/>
        </w:rPr>
        <w:t>Intersegment revenue (a)</w:t>
        <w:tab/>
        <w:tab/>
      </w:r>
      <w:r>
        <w:rPr>
          <w:spacing w:val="-1"/>
          <w:sz w:val="18"/>
          <w:u w:val="single"/>
        </w:rPr>
        <w:tab/>
      </w:r>
      <w:r>
        <w:rPr>
          <w:rFonts w:eastAsia="Symbol" w:cs="Symbol" w:ascii="Symbol" w:hAnsi="Symbol"/>
          <w:spacing w:val="-1"/>
          <w:sz w:val="18"/>
          <w:u w:val="single"/>
        </w:rPr>
        <w:sym w:font="Symbol" w:char="f020"/>
        <w:sym w:font="Symbol" w:char="f020"/>
      </w:r>
      <w:r>
        <w:rPr>
          <w:spacing w:val="-1"/>
          <w:sz w:val="18"/>
          <w:u w:val="single"/>
        </w:rPr>
        <w:t>8,419</w:t>
      </w:r>
      <w:r>
        <w:rPr>
          <w:spacing w:val="-1"/>
          <w:sz w:val="18"/>
        </w:rPr>
        <w:tab/>
      </w:r>
      <w:r>
        <w:rPr>
          <w:spacing w:val="-1"/>
          <w:sz w:val="18"/>
          <w:u w:val="single"/>
        </w:rPr>
        <w:tab/>
        <w:t>23,007</w:t>
      </w:r>
      <w:r>
        <w:rPr>
          <w:spacing w:val="-1"/>
          <w:sz w:val="18"/>
        </w:rPr>
        <w:tab/>
      </w:r>
      <w:r>
        <w:rPr>
          <w:spacing w:val="-1"/>
          <w:sz w:val="18"/>
          <w:u w:val="single"/>
        </w:rPr>
        <w:tab/>
      </w:r>
      <w:r>
        <w:rPr>
          <w:rFonts w:eastAsia="Symbol" w:cs="Symbol" w:ascii="Symbol" w:hAnsi="Symbol"/>
          <w:spacing w:val="-1"/>
          <w:sz w:val="18"/>
          <w:u w:val="single"/>
        </w:rPr>
        <w:sym w:font="Symbol" w:char="f020"/>
        <w:sym w:font="Symbol" w:char="f020"/>
      </w:r>
      <w:r>
        <w:rPr>
          <w:spacing w:val="-1"/>
          <w:sz w:val="18"/>
          <w:u w:val="single"/>
        </w:rPr>
        <w:t>8,418</w:t>
      </w:r>
      <w:r>
        <w:rPr>
          <w:spacing w:val="-1"/>
          <w:sz w:val="18"/>
        </w:rPr>
        <w:tab/>
      </w:r>
      <w:r>
        <w:rPr>
          <w:spacing w:val="-1"/>
          <w:sz w:val="18"/>
          <w:u w:val="single"/>
        </w:rPr>
        <w:tab/>
        <w:t>(39,844)</w:t>
      </w:r>
      <w:r>
        <w:rPr>
          <w:spacing w:val="-1"/>
          <w:sz w:val="18"/>
        </w:rPr>
        <w:tab/>
      </w:r>
      <w:r>
        <w:rPr>
          <w:spacing w:val="-1"/>
          <w:sz w:val="18"/>
          <w:u w:val="single"/>
        </w:rPr>
        <w:tab/>
      </w:r>
      <w:r>
        <w:rPr>
          <w:rFonts w:eastAsia="Symbol" w:cs="Symbol" w:ascii="Symbol" w:hAnsi="Symbol"/>
          <w:spacing w:val="-1"/>
          <w:sz w:val="18"/>
          <w:u w:val="single"/>
        </w:rPr>
        <w:sym w:font="Symbol" w:char="f020"/>
        <w:sym w:font="Symbol" w:char="f020"/>
      </w:r>
      <w:r>
        <w:rPr>
          <w:rFonts w:eastAsia="Symbol" w:cs="Symbol" w:ascii="Symbol" w:hAnsi="Symbol"/>
          <w:spacing w:val="-2"/>
          <w:kern w:val="2"/>
          <w:u w:val="single"/>
        </w:rPr>
        <w:sym w:font="Symbol" w:char="f02d"/>
        <w:sym w:font="Symbol" w:char="f020"/>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spacing w:val="-1"/>
          <w:sz w:val="18"/>
        </w:rPr>
      </w:pPr>
      <w:r>
        <w:rPr>
          <w:spacing w:val="-1"/>
          <w:sz w:val="18"/>
        </w:rPr>
        <w:tab/>
        <w:t>Total revenue</w:t>
        <w:tab/>
        <w:tab/>
      </w:r>
      <w:r>
        <w:rPr>
          <w:spacing w:val="-1"/>
          <w:sz w:val="18"/>
          <w:u w:val="single"/>
        </w:rPr>
        <w:tab/>
        <w:t>2,356,891</w:t>
      </w:r>
      <w:r>
        <w:rPr>
          <w:spacing w:val="-1"/>
          <w:sz w:val="18"/>
        </w:rPr>
        <w:tab/>
      </w:r>
      <w:r>
        <w:rPr>
          <w:spacing w:val="-1"/>
          <w:sz w:val="18"/>
          <w:u w:val="single"/>
        </w:rPr>
        <w:tab/>
        <w:t>31,361</w:t>
      </w:r>
      <w:r>
        <w:rPr>
          <w:spacing w:val="-1"/>
          <w:sz w:val="18"/>
        </w:rPr>
        <w:tab/>
      </w:r>
      <w:r>
        <w:rPr>
          <w:spacing w:val="-1"/>
          <w:sz w:val="18"/>
          <w:u w:val="single"/>
        </w:rPr>
        <w:tab/>
        <w:t>196,029</w:t>
      </w:r>
      <w:r>
        <w:rPr>
          <w:spacing w:val="-1"/>
          <w:sz w:val="18"/>
        </w:rPr>
        <w:tab/>
      </w:r>
      <w:r>
        <w:rPr>
          <w:spacing w:val="-1"/>
          <w:sz w:val="18"/>
          <w:u w:val="single"/>
        </w:rPr>
        <w:tab/>
        <w:t>(39,844</w:t>
      </w:r>
      <w:r>
        <w:rPr>
          <w:spacing w:val="-1"/>
          <w:sz w:val="18"/>
        </w:rPr>
        <w:t>)</w:t>
        <w:tab/>
      </w:r>
      <w:r>
        <w:rPr>
          <w:spacing w:val="-1"/>
          <w:sz w:val="18"/>
          <w:u w:val="single"/>
        </w:rPr>
        <w:tab/>
        <w:t>2,544,437</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spacing w:val="-1"/>
          <w:sz w:val="18"/>
        </w:rPr>
      </w:pPr>
      <w:r>
        <w:rPr>
          <w:spacing w:val="-1"/>
          <w:sz w:val="18"/>
        </w:rPr>
        <w:t>Gross margin</w:t>
        <w:tab/>
        <w:tab/>
      </w:r>
      <w:r>
        <w:rPr>
          <w:spacing w:val="-1"/>
          <w:sz w:val="18"/>
          <w:u w:val="single"/>
        </w:rPr>
        <w:tab/>
        <w:t>23,857</w:t>
      </w:r>
      <w:r>
        <w:rPr>
          <w:spacing w:val="-1"/>
          <w:sz w:val="18"/>
        </w:rPr>
        <w:tab/>
      </w:r>
      <w:r>
        <w:rPr>
          <w:spacing w:val="-1"/>
          <w:sz w:val="18"/>
          <w:u w:val="single"/>
        </w:rPr>
        <w:tab/>
        <w:t>31,045</w:t>
      </w:r>
      <w:r>
        <w:rPr>
          <w:spacing w:val="-1"/>
          <w:sz w:val="18"/>
        </w:rPr>
        <w:tab/>
      </w:r>
      <w:r>
        <w:rPr>
          <w:spacing w:val="-1"/>
          <w:sz w:val="18"/>
          <w:u w:val="single"/>
        </w:rPr>
        <w:tab/>
        <w:t>5,152</w:t>
      </w:r>
      <w:r>
        <w:rPr>
          <w:spacing w:val="-1"/>
          <w:sz w:val="18"/>
        </w:rPr>
        <w:tab/>
      </w:r>
      <w:r>
        <w:rPr>
          <w:spacing w:val="-1"/>
          <w:sz w:val="18"/>
          <w:u w:val="single"/>
        </w:rPr>
        <w:tab/>
      </w:r>
      <w:r>
        <w:rPr>
          <w:rFonts w:eastAsia="Symbol" w:cs="Symbol" w:ascii="Symbol" w:hAnsi="Symbol"/>
          <w:spacing w:val="-2"/>
          <w:kern w:val="2"/>
          <w:u w:val="single"/>
        </w:rPr>
        <w:sym w:font="Symbol" w:char="f020"/>
        <w:sym w:font="Symbol" w:char="f02d"/>
        <w:sym w:font="Symbol" w:char="f020"/>
        <w:sym w:font="Symbol" w:char="f020"/>
      </w:r>
      <w:r>
        <w:rPr>
          <w:spacing w:val="-1"/>
          <w:sz w:val="18"/>
        </w:rPr>
        <w:tab/>
      </w:r>
      <w:r>
        <w:rPr>
          <w:spacing w:val="-1"/>
          <w:sz w:val="18"/>
          <w:u w:val="single"/>
        </w:rPr>
        <w:tab/>
        <w:t>60,054</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spacing w:val="-1"/>
          <w:sz w:val="18"/>
        </w:rPr>
      </w:pPr>
      <w:r>
        <w:rPr>
          <w:spacing w:val="-1"/>
          <w:sz w:val="18"/>
        </w:rPr>
        <w:t>Operating income (loss)</w:t>
        <w:tab/>
        <w:tab/>
        <w:tab/>
        <w:t>4,044</w:t>
        <w:tab/>
        <w:tab/>
        <w:t>14,730</w:t>
        <w:tab/>
        <w:tab/>
        <w:t>(13)</w:t>
        <w:tab/>
        <w:tab/>
        <w:t>(6,270)</w:t>
        <w:tab/>
        <w:tab/>
        <w:t>12,491</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pPr>
      <w:r>
        <w:rPr>
          <w:spacing w:val="-1"/>
          <w:sz w:val="18"/>
        </w:rPr>
        <w:t>Other expense, net</w:t>
        <w:tab/>
        <w:tab/>
      </w:r>
      <w:r>
        <w:rPr>
          <w:spacing w:val="-1"/>
          <w:sz w:val="18"/>
          <w:u w:val="single"/>
        </w:rPr>
        <w:tab/>
      </w:r>
      <w:r>
        <w:rPr>
          <w:rFonts w:eastAsia="Symbol" w:cs="Symbol" w:ascii="Symbol" w:hAnsi="Symbol"/>
          <w:spacing w:val="-2"/>
          <w:kern w:val="2"/>
          <w:u w:val="single"/>
        </w:rPr>
        <w:sym w:font="Symbol" w:char="f02d"/>
        <w:sym w:font="Symbol" w:char="f020"/>
        <w:sym w:font="Symbol" w:char="f020"/>
        <w:sym w:font="Symbol" w:char="f020"/>
      </w:r>
      <w:r>
        <w:rPr>
          <w:spacing w:val="-1"/>
          <w:sz w:val="18"/>
        </w:rPr>
        <w:tab/>
      </w:r>
      <w:r>
        <w:rPr>
          <w:spacing w:val="-1"/>
          <w:sz w:val="18"/>
          <w:u w:val="single"/>
        </w:rPr>
        <w:tab/>
      </w:r>
      <w:r>
        <w:rPr>
          <w:rFonts w:eastAsia="Symbol" w:cs="Symbol" w:ascii="Symbol" w:hAnsi="Symbol"/>
          <w:spacing w:val="-2"/>
          <w:kern w:val="2"/>
          <w:u w:val="single"/>
        </w:rPr>
        <w:sym w:font="Symbol" w:char="f020"/>
        <w:sym w:font="Symbol" w:char="f020"/>
        <w:sym w:font="Symbol" w:char="f02d"/>
        <w:sym w:font="Symbol" w:char="f020"/>
      </w:r>
      <w:r>
        <w:rPr>
          <w:spacing w:val="-1"/>
          <w:sz w:val="18"/>
        </w:rPr>
        <w:tab/>
      </w:r>
      <w:r>
        <w:rPr>
          <w:spacing w:val="-1"/>
          <w:sz w:val="18"/>
          <w:u w:val="single"/>
        </w:rPr>
        <w:tab/>
      </w:r>
      <w:r>
        <w:rPr>
          <w:rFonts w:eastAsia="Symbol" w:cs="Symbol" w:ascii="Symbol" w:hAnsi="Symbol"/>
          <w:spacing w:val="-2"/>
          <w:kern w:val="2"/>
          <w:u w:val="single"/>
        </w:rPr>
        <w:sym w:font="Symbol" w:char="f020"/>
        <w:sym w:font="Symbol" w:char="f020"/>
        <w:sym w:font="Symbol" w:char="f02d"/>
        <w:sym w:font="Symbol" w:char="f020"/>
      </w:r>
      <w:r>
        <w:rPr>
          <w:spacing w:val="-2"/>
          <w:kern w:val="2"/>
          <w:sz w:val="21"/>
        </w:rPr>
        <w:tab/>
      </w:r>
      <w:r>
        <w:rPr>
          <w:spacing w:val="-1"/>
          <w:sz w:val="18"/>
          <w:u w:val="single"/>
        </w:rPr>
        <w:tab/>
        <w:t>(7,222</w:t>
      </w:r>
      <w:r>
        <w:rPr>
          <w:spacing w:val="-1"/>
          <w:sz w:val="18"/>
        </w:rPr>
        <w:t>)</w:t>
        <w:tab/>
      </w:r>
      <w:r>
        <w:rPr>
          <w:spacing w:val="-1"/>
          <w:sz w:val="18"/>
          <w:u w:val="single"/>
        </w:rPr>
        <w:tab/>
        <w:t>(7,222</w:t>
      </w:r>
      <w:r>
        <w:rPr>
          <w:spacing w:val="-1"/>
          <w:sz w:val="18"/>
        </w:rPr>
        <w:t>)</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spacing w:val="-1"/>
          <w:sz w:val="18"/>
        </w:rPr>
      </w:pPr>
      <w:r>
        <w:rPr>
          <w:spacing w:val="-1"/>
          <w:sz w:val="18"/>
        </w:rPr>
        <w:t>Net income (loss) before cumulative</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pPr>
      <w:r>
        <w:rPr>
          <w:spacing w:val="-1"/>
          <w:sz w:val="18"/>
        </w:rPr>
        <w:tab/>
        <w:t>effect of accounting change</w:t>
        <w:tab/>
        <w:tab/>
      </w:r>
      <w:r>
        <w:rPr>
          <w:spacing w:val="-1"/>
          <w:sz w:val="18"/>
          <w:u w:val="single"/>
        </w:rPr>
        <w:tab/>
        <w:t>4,044</w:t>
      </w:r>
      <w:r>
        <w:rPr>
          <w:spacing w:val="-1"/>
          <w:sz w:val="18"/>
        </w:rPr>
        <w:tab/>
      </w:r>
      <w:r>
        <w:rPr>
          <w:spacing w:val="-1"/>
          <w:sz w:val="18"/>
          <w:u w:val="single"/>
        </w:rPr>
        <w:tab/>
        <w:t>14,730</w:t>
      </w:r>
      <w:r>
        <w:rPr>
          <w:spacing w:val="-1"/>
          <w:sz w:val="18"/>
        </w:rPr>
        <w:tab/>
      </w:r>
      <w:r>
        <w:rPr>
          <w:spacing w:val="-1"/>
          <w:sz w:val="18"/>
          <w:u w:val="single"/>
        </w:rPr>
        <w:tab/>
        <w:t>(13</w:t>
      </w:r>
      <w:r>
        <w:rPr>
          <w:spacing w:val="-1"/>
          <w:sz w:val="18"/>
        </w:rPr>
        <w:t>)</w:t>
        <w:tab/>
      </w:r>
      <w:r>
        <w:rPr>
          <w:spacing w:val="-1"/>
          <w:sz w:val="18"/>
          <w:u w:val="single"/>
        </w:rPr>
        <w:tab/>
        <w:t>(13,492</w:t>
      </w:r>
      <w:r>
        <w:rPr>
          <w:spacing w:val="-1"/>
          <w:sz w:val="18"/>
        </w:rPr>
        <w:t>)</w:t>
        <w:tab/>
      </w:r>
      <w:r>
        <w:rPr>
          <w:spacing w:val="-1"/>
          <w:sz w:val="18"/>
          <w:u w:val="single"/>
        </w:rPr>
        <w:tab/>
        <w:t>5,269</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spacing w:val="-1"/>
          <w:sz w:val="18"/>
        </w:rPr>
      </w:pPr>
      <w:r>
        <w:rPr>
          <w:spacing w:val="-1"/>
          <w:sz w:val="18"/>
        </w:rPr>
        <w:t>Depreciation and amortization</w:t>
        <w:tab/>
        <w:tab/>
      </w:r>
      <w:r>
        <w:rPr>
          <w:spacing w:val="-1"/>
          <w:sz w:val="18"/>
          <w:u w:val="single"/>
        </w:rPr>
        <w:tab/>
        <w:t>1,535</w:t>
      </w:r>
      <w:r>
        <w:rPr>
          <w:spacing w:val="-1"/>
          <w:sz w:val="18"/>
        </w:rPr>
        <w:tab/>
      </w:r>
      <w:r>
        <w:rPr>
          <w:spacing w:val="-1"/>
          <w:sz w:val="18"/>
          <w:u w:val="single"/>
        </w:rPr>
        <w:tab/>
        <w:t>5,501</w:t>
      </w:r>
      <w:r>
        <w:rPr>
          <w:spacing w:val="-1"/>
          <w:sz w:val="18"/>
        </w:rPr>
        <w:tab/>
      </w:r>
      <w:r>
        <w:rPr>
          <w:spacing w:val="-1"/>
          <w:sz w:val="18"/>
          <w:u w:val="single"/>
        </w:rPr>
        <w:tab/>
        <w:t>663</w:t>
      </w:r>
      <w:r>
        <w:rPr>
          <w:spacing w:val="-2"/>
          <w:kern w:val="2"/>
          <w:sz w:val="21"/>
        </w:rPr>
        <w:tab/>
      </w:r>
      <w:r>
        <w:rPr>
          <w:spacing w:val="-1"/>
          <w:sz w:val="18"/>
          <w:u w:val="single"/>
        </w:rPr>
        <w:tab/>
        <w:t>808</w:t>
      </w:r>
      <w:r>
        <w:rPr>
          <w:spacing w:val="-1"/>
          <w:sz w:val="18"/>
        </w:rPr>
        <w:tab/>
      </w:r>
      <w:r>
        <w:rPr>
          <w:spacing w:val="-1"/>
          <w:sz w:val="18"/>
          <w:u w:val="single"/>
        </w:rPr>
        <w:tab/>
        <w:t>8,507</w:t>
      </w:r>
    </w:p>
    <w:p>
      <w:pPr>
        <w:pStyle w:val="Normal"/>
        <w:pBdr>
          <w:bottom w:val="single" w:sz="4" w:space="1" w:color="000000"/>
        </w:pBdr>
        <w:tabs>
          <w:tab w:val="clear" w:pos="720"/>
          <w:tab w:val="left" w:pos="-1440" w:leader="none"/>
          <w:tab w:val="left" w:pos="-720" w:leader="none"/>
          <w:tab w:val="left" w:pos="180" w:leader="none"/>
        </w:tabs>
        <w:suppressAutoHyphens w:val="true"/>
        <w:jc w:val="both"/>
        <w:rPr>
          <w:spacing w:val="-1"/>
          <w:sz w:val="18"/>
        </w:rPr>
      </w:pPr>
      <w:r>
        <w:rPr>
          <w:spacing w:val="-1"/>
          <w:sz w:val="18"/>
        </w:rPr>
      </w:r>
    </w:p>
    <w:p>
      <w:pPr>
        <w:pStyle w:val="Normal"/>
        <w:pBdr>
          <w:bottom w:val="single" w:sz="4" w:space="1" w:color="000000"/>
        </w:pBdr>
        <w:tabs>
          <w:tab w:val="clear" w:pos="720"/>
          <w:tab w:val="left" w:pos="-1440" w:leader="none"/>
          <w:tab w:val="left" w:pos="-720" w:leader="none"/>
          <w:tab w:val="left" w:pos="180" w:leader="none"/>
        </w:tabs>
        <w:suppressAutoHyphens w:val="true"/>
        <w:jc w:val="both"/>
        <w:rPr>
          <w:spacing w:val="-1"/>
          <w:sz w:val="18"/>
        </w:rPr>
      </w:pPr>
      <w:r>
        <w:rPr>
          <w:spacing w:val="-1"/>
          <w:sz w:val="18"/>
        </w:rPr>
      </w:r>
    </w:p>
    <w:p>
      <w:pPr>
        <w:pStyle w:val="Heading5"/>
        <w:tabs>
          <w:tab w:val="left" w:pos="-1440" w:leader="none"/>
          <w:tab w:val="left" w:pos="-720" w:leader="none"/>
          <w:tab w:val="left" w:pos="180" w:leader="none"/>
          <w:tab w:val="left" w:pos="3510" w:leader="none"/>
          <w:tab w:val="left" w:pos="3780" w:leader="dot"/>
          <w:tab w:val="left" w:pos="3960" w:leader="none"/>
          <w:tab w:val="center" w:pos="4050" w:leader="none"/>
          <w:tab w:val="decimal" w:pos="4860" w:leader="none"/>
          <w:tab w:val="left" w:pos="5220" w:leader="none"/>
          <w:tab w:val="decimal" w:pos="6120" w:leader="none"/>
          <w:tab w:val="left" w:pos="6480" w:leader="none"/>
          <w:tab w:val="decimal" w:pos="7380" w:leader="none"/>
          <w:tab w:val="left" w:pos="7740" w:leader="none"/>
          <w:tab w:val="decimal" w:pos="8640" w:leader="none"/>
        </w:tabs>
        <w:spacing w:before="0" w:after="0"/>
        <w:ind w:hanging="0" w:start="0"/>
        <w:rPr>
          <w:spacing w:val="-1"/>
          <w:sz w:val="18"/>
        </w:rPr>
      </w:pPr>
      <w:r>
        <w:rPr>
          <w:spacing w:val="-1"/>
          <w:sz w:val="18"/>
        </w:rPr>
      </w:r>
    </w:p>
    <w:p>
      <w:pPr>
        <w:pStyle w:val="Heading5"/>
        <w:tabs>
          <w:tab w:val="left" w:pos="-1440" w:leader="none"/>
          <w:tab w:val="left" w:pos="-720" w:leader="none"/>
          <w:tab w:val="left" w:pos="180" w:leader="none"/>
          <w:tab w:val="left" w:pos="3510" w:leader="none"/>
          <w:tab w:val="left" w:pos="3780" w:leader="dot"/>
          <w:tab w:val="left" w:pos="3960" w:leader="none"/>
          <w:tab w:val="center" w:pos="4050" w:leader="none"/>
          <w:tab w:val="decimal" w:pos="4860" w:leader="none"/>
          <w:tab w:val="left" w:pos="5220" w:leader="none"/>
          <w:tab w:val="decimal" w:pos="6120" w:leader="none"/>
          <w:tab w:val="left" w:pos="6480" w:leader="none"/>
          <w:tab w:val="decimal" w:pos="7380" w:leader="none"/>
          <w:tab w:val="left" w:pos="7740" w:leader="none"/>
          <w:tab w:val="decimal" w:pos="8640" w:leader="none"/>
        </w:tabs>
        <w:spacing w:before="60" w:after="0"/>
        <w:ind w:hanging="0" w:start="0"/>
        <w:rPr/>
      </w:pPr>
      <w:r>
        <w:rPr/>
        <w:t>Three Months Ended March 31, 2000</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 w:val="left" w:pos="9450" w:leader="none"/>
        </w:tabs>
        <w:suppressAutoHyphens w:val="true"/>
        <w:spacing w:before="60" w:after="0"/>
        <w:ind w:end="-187"/>
        <w:jc w:val="both"/>
        <w:rPr/>
      </w:pPr>
      <w:r>
        <w:rPr>
          <w:spacing w:val="-1"/>
          <w:sz w:val="18"/>
        </w:rPr>
        <w:t>Revenue from external customers</w:t>
        <w:tab/>
        <w:tab/>
        <w:t>$</w:t>
        <w:tab/>
        <w:t>2,476,302</w:t>
        <w:tab/>
        <w:t>$</w:t>
        <w:tab/>
        <w:t>9,789</w:t>
        <w:tab/>
        <w:t>$</w:t>
        <w:tab/>
        <w:t>195,605</w:t>
        <w:tab/>
        <w:t>$</w:t>
        <w:tab/>
      </w:r>
      <w:r>
        <w:rPr>
          <w:rFonts w:eastAsia="Symbol" w:cs="Symbol" w:ascii="Symbol" w:hAnsi="Symbol"/>
          <w:spacing w:val="-1"/>
          <w:sz w:val="18"/>
        </w:rPr>
        <w:sym w:font="Symbol" w:char="f02d"/>
      </w:r>
      <w:r>
        <w:rPr>
          <w:spacing w:val="-1"/>
          <w:sz w:val="18"/>
        </w:rPr>
        <w:tab/>
        <w:t>$</w:t>
        <w:tab/>
        <w:t>2,681,696</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spacing w:val="-1"/>
          <w:sz w:val="18"/>
        </w:rPr>
      </w:pPr>
      <w:r>
        <w:rPr>
          <w:spacing w:val="-1"/>
          <w:sz w:val="18"/>
        </w:rPr>
        <w:t>Intersegment revenue (a)</w:t>
        <w:tab/>
        <w:tab/>
      </w:r>
      <w:r>
        <w:rPr>
          <w:spacing w:val="-1"/>
          <w:sz w:val="18"/>
          <w:u w:val="single"/>
        </w:rPr>
        <w:tab/>
      </w:r>
      <w:r>
        <w:rPr>
          <w:rFonts w:eastAsia="Symbol" w:cs="Symbol" w:ascii="Symbol" w:hAnsi="Symbol"/>
          <w:spacing w:val="-2"/>
          <w:kern w:val="2"/>
          <w:u w:val="single"/>
        </w:rPr>
        <w:sym w:font="Symbol" w:char="f02d"/>
        <w:sym w:font="Symbol" w:char="f020"/>
      </w:r>
      <w:r>
        <w:rPr>
          <w:spacing w:val="-1"/>
          <w:sz w:val="18"/>
        </w:rPr>
        <w:tab/>
      </w:r>
      <w:r>
        <w:rPr>
          <w:spacing w:val="-1"/>
          <w:sz w:val="18"/>
          <w:u w:val="single"/>
        </w:rPr>
        <w:tab/>
        <w:t>23,207</w:t>
      </w:r>
      <w:r>
        <w:rPr>
          <w:spacing w:val="-1"/>
          <w:sz w:val="18"/>
        </w:rPr>
        <w:tab/>
      </w:r>
      <w:r>
        <w:rPr>
          <w:spacing w:val="-1"/>
          <w:sz w:val="18"/>
          <w:u w:val="single"/>
        </w:rPr>
        <w:tab/>
      </w:r>
      <w:r>
        <w:rPr>
          <w:rFonts w:eastAsia="Symbol" w:cs="Symbol" w:ascii="Symbol" w:hAnsi="Symbol"/>
          <w:spacing w:val="-2"/>
          <w:kern w:val="2"/>
          <w:u w:val="single"/>
        </w:rPr>
        <w:sym w:font="Symbol" w:char="f02d"/>
        <w:sym w:font="Symbol" w:char="f020"/>
      </w:r>
      <w:r>
        <w:rPr>
          <w:spacing w:val="-1"/>
          <w:sz w:val="18"/>
        </w:rPr>
        <w:tab/>
      </w:r>
      <w:r>
        <w:rPr>
          <w:spacing w:val="-1"/>
          <w:sz w:val="18"/>
          <w:u w:val="single"/>
        </w:rPr>
        <w:tab/>
        <w:t>(23,207</w:t>
      </w:r>
      <w:r>
        <w:rPr>
          <w:spacing w:val="-1"/>
          <w:sz w:val="18"/>
        </w:rPr>
        <w:t>)</w:t>
        <w:tab/>
      </w:r>
      <w:r>
        <w:rPr>
          <w:spacing w:val="-1"/>
          <w:sz w:val="18"/>
          <w:u w:val="single"/>
        </w:rPr>
        <w:tab/>
      </w:r>
      <w:r>
        <w:rPr>
          <w:rFonts w:eastAsia="Symbol" w:cs="Symbol" w:ascii="Symbol" w:hAnsi="Symbol"/>
          <w:spacing w:val="-1"/>
          <w:sz w:val="18"/>
          <w:u w:val="single"/>
        </w:rPr>
        <w:sym w:font="Symbol" w:char="f02d"/>
        <w:sym w:font="Symbol" w:char="f020"/>
        <w:sym w:font="Symbol" w:char="f020"/>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spacing w:val="-1"/>
          <w:sz w:val="18"/>
        </w:rPr>
      </w:pPr>
      <w:r>
        <w:rPr>
          <w:spacing w:val="-1"/>
          <w:sz w:val="18"/>
        </w:rPr>
        <w:tab/>
        <w:t>Total revenue</w:t>
        <w:tab/>
        <w:tab/>
      </w:r>
      <w:r>
        <w:rPr>
          <w:spacing w:val="-1"/>
          <w:sz w:val="18"/>
          <w:u w:val="single"/>
        </w:rPr>
        <w:tab/>
        <w:t>2,476,302</w:t>
      </w:r>
      <w:r>
        <w:rPr>
          <w:spacing w:val="-1"/>
          <w:sz w:val="18"/>
        </w:rPr>
        <w:tab/>
      </w:r>
      <w:r>
        <w:rPr>
          <w:spacing w:val="-1"/>
          <w:sz w:val="18"/>
          <w:u w:val="single"/>
        </w:rPr>
        <w:tab/>
        <w:t>32,996</w:t>
      </w:r>
      <w:r>
        <w:rPr>
          <w:spacing w:val="-1"/>
          <w:sz w:val="18"/>
        </w:rPr>
        <w:tab/>
      </w:r>
      <w:r>
        <w:rPr>
          <w:spacing w:val="-1"/>
          <w:sz w:val="18"/>
          <w:u w:val="single"/>
        </w:rPr>
        <w:tab/>
        <w:t>195,605</w:t>
      </w:r>
      <w:r>
        <w:rPr>
          <w:spacing w:val="-1"/>
          <w:sz w:val="18"/>
        </w:rPr>
        <w:tab/>
      </w:r>
      <w:r>
        <w:rPr>
          <w:spacing w:val="-1"/>
          <w:sz w:val="18"/>
          <w:u w:val="single"/>
        </w:rPr>
        <w:tab/>
        <w:t>(23,207</w:t>
      </w:r>
      <w:r>
        <w:rPr>
          <w:spacing w:val="-1"/>
          <w:sz w:val="18"/>
        </w:rPr>
        <w:t>)</w:t>
        <w:tab/>
      </w:r>
      <w:r>
        <w:rPr>
          <w:spacing w:val="-1"/>
          <w:sz w:val="18"/>
          <w:u w:val="single"/>
        </w:rPr>
        <w:tab/>
        <w:t>2,681,696</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spacing w:val="-1"/>
          <w:sz w:val="18"/>
        </w:rPr>
      </w:pPr>
      <w:r>
        <w:rPr>
          <w:spacing w:val="-1"/>
          <w:sz w:val="18"/>
        </w:rPr>
        <w:t>Gross margin</w:t>
        <w:tab/>
        <w:tab/>
      </w:r>
      <w:r>
        <w:rPr>
          <w:spacing w:val="-1"/>
          <w:sz w:val="18"/>
          <w:u w:val="single"/>
        </w:rPr>
        <w:tab/>
        <w:t>19,070</w:t>
      </w:r>
      <w:r>
        <w:rPr>
          <w:spacing w:val="-1"/>
          <w:sz w:val="18"/>
        </w:rPr>
        <w:tab/>
      </w:r>
      <w:r>
        <w:rPr>
          <w:spacing w:val="-1"/>
          <w:sz w:val="18"/>
          <w:u w:val="single"/>
        </w:rPr>
        <w:tab/>
        <w:t>33,641</w:t>
      </w:r>
      <w:r>
        <w:rPr>
          <w:spacing w:val="-1"/>
          <w:sz w:val="18"/>
        </w:rPr>
        <w:tab/>
      </w:r>
      <w:r>
        <w:rPr>
          <w:spacing w:val="-1"/>
          <w:sz w:val="18"/>
          <w:u w:val="single"/>
        </w:rPr>
        <w:tab/>
        <w:t>3,753</w:t>
      </w:r>
      <w:r>
        <w:rPr>
          <w:spacing w:val="-1"/>
          <w:sz w:val="18"/>
        </w:rPr>
        <w:tab/>
      </w:r>
      <w:r>
        <w:rPr>
          <w:spacing w:val="-1"/>
          <w:sz w:val="18"/>
          <w:u w:val="single"/>
        </w:rPr>
        <w:tab/>
      </w:r>
      <w:r>
        <w:rPr>
          <w:rFonts w:eastAsia="Symbol" w:cs="Symbol" w:ascii="Symbol" w:hAnsi="Symbol"/>
          <w:spacing w:val="-1"/>
          <w:sz w:val="18"/>
          <w:u w:val="single"/>
        </w:rPr>
        <w:sym w:font="Symbol" w:char="f02d"/>
      </w:r>
      <w:r>
        <w:rPr>
          <w:spacing w:val="-1"/>
          <w:sz w:val="18"/>
        </w:rPr>
        <w:tab/>
      </w:r>
      <w:r>
        <w:rPr>
          <w:spacing w:val="-1"/>
          <w:sz w:val="18"/>
          <w:u w:val="single"/>
        </w:rPr>
        <w:tab/>
        <w:t>56,464</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spacing w:val="-1"/>
          <w:sz w:val="18"/>
        </w:rPr>
      </w:pPr>
      <w:r>
        <w:rPr>
          <w:spacing w:val="-1"/>
          <w:sz w:val="18"/>
        </w:rPr>
        <w:t>Operating income (loss)</w:t>
        <w:tab/>
        <w:tab/>
        <w:tab/>
        <w:t>(337)</w:t>
        <w:tab/>
        <w:tab/>
        <w:t>17,404</w:t>
        <w:tab/>
        <w:tab/>
        <w:t>(1,371)</w:t>
        <w:tab/>
        <w:tab/>
        <w:t>(5,124)</w:t>
        <w:tab/>
        <w:tab/>
        <w:t>10,572</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pPr>
      <w:r>
        <w:rPr>
          <w:spacing w:val="-1"/>
          <w:sz w:val="18"/>
        </w:rPr>
        <w:t>Other expense, net</w:t>
        <w:tab/>
        <w:tab/>
      </w:r>
      <w:r>
        <w:rPr>
          <w:spacing w:val="-1"/>
          <w:sz w:val="18"/>
          <w:u w:val="single"/>
        </w:rPr>
        <w:tab/>
      </w:r>
      <w:r>
        <w:rPr>
          <w:rFonts w:eastAsia="Symbol" w:cs="Symbol" w:ascii="Symbol" w:hAnsi="Symbol"/>
          <w:spacing w:val="-2"/>
          <w:kern w:val="2"/>
          <w:u w:val="single"/>
        </w:rPr>
        <w:sym w:font="Symbol" w:char="f020"/>
        <w:sym w:font="Symbol" w:char="f02d"/>
        <w:sym w:font="Symbol" w:char="f020"/>
      </w:r>
      <w:r>
        <w:rPr>
          <w:spacing w:val="-1"/>
          <w:sz w:val="18"/>
        </w:rPr>
        <w:tab/>
      </w:r>
      <w:r>
        <w:rPr>
          <w:spacing w:val="-1"/>
          <w:sz w:val="18"/>
          <w:u w:val="single"/>
        </w:rPr>
        <w:tab/>
      </w:r>
      <w:r>
        <w:rPr>
          <w:rFonts w:eastAsia="Symbol" w:cs="Symbol" w:ascii="Symbol" w:hAnsi="Symbol"/>
          <w:spacing w:val="-2"/>
          <w:kern w:val="2"/>
          <w:u w:val="single"/>
        </w:rPr>
        <w:sym w:font="Symbol" w:char="f02d"/>
        <w:sym w:font="Symbol" w:char="f020"/>
        <w:sym w:font="Symbol" w:char="f020"/>
      </w:r>
      <w:r>
        <w:rPr>
          <w:spacing w:val="-1"/>
          <w:sz w:val="18"/>
        </w:rPr>
        <w:tab/>
      </w:r>
      <w:r>
        <w:rPr>
          <w:spacing w:val="-1"/>
          <w:sz w:val="18"/>
          <w:u w:val="single"/>
        </w:rPr>
        <w:tab/>
      </w:r>
      <w:r>
        <w:rPr>
          <w:rFonts w:eastAsia="Symbol" w:cs="Symbol" w:ascii="Symbol" w:hAnsi="Symbol"/>
          <w:spacing w:val="-2"/>
          <w:kern w:val="2"/>
          <w:u w:val="single"/>
        </w:rPr>
        <w:sym w:font="Symbol" w:char="f02d"/>
        <w:sym w:font="Symbol" w:char="f020"/>
        <w:sym w:font="Symbol" w:char="f020"/>
      </w:r>
      <w:r>
        <w:rPr>
          <w:spacing w:val="-2"/>
          <w:kern w:val="2"/>
          <w:sz w:val="21"/>
        </w:rPr>
        <w:tab/>
      </w:r>
      <w:r>
        <w:rPr>
          <w:spacing w:val="-1"/>
          <w:sz w:val="18"/>
          <w:u w:val="single"/>
        </w:rPr>
        <w:tab/>
        <w:t>(8,351</w:t>
      </w:r>
      <w:r>
        <w:rPr>
          <w:spacing w:val="-1"/>
          <w:sz w:val="18"/>
        </w:rPr>
        <w:t>)</w:t>
        <w:tab/>
      </w:r>
      <w:r>
        <w:rPr>
          <w:spacing w:val="-1"/>
          <w:sz w:val="18"/>
          <w:u w:val="single"/>
        </w:rPr>
        <w:tab/>
        <w:t>(8,351</w:t>
      </w:r>
      <w:r>
        <w:rPr>
          <w:spacing w:val="-1"/>
          <w:sz w:val="18"/>
        </w:rPr>
        <w:t>)</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pPr>
      <w:r>
        <w:rPr>
          <w:spacing w:val="-1"/>
          <w:sz w:val="18"/>
        </w:rPr>
        <w:t>Net income (loss)</w:t>
        <w:tab/>
        <w:tab/>
      </w:r>
      <w:r>
        <w:rPr>
          <w:spacing w:val="-1"/>
          <w:sz w:val="18"/>
          <w:u w:val="single"/>
        </w:rPr>
        <w:tab/>
        <w:t>(337</w:t>
      </w:r>
      <w:r>
        <w:rPr>
          <w:spacing w:val="-1"/>
          <w:sz w:val="18"/>
        </w:rPr>
        <w:t>)</w:t>
        <w:tab/>
      </w:r>
      <w:r>
        <w:rPr>
          <w:spacing w:val="-1"/>
          <w:sz w:val="18"/>
          <w:u w:val="single"/>
        </w:rPr>
        <w:tab/>
        <w:t>17,404</w:t>
      </w:r>
      <w:r>
        <w:rPr>
          <w:spacing w:val="-1"/>
          <w:sz w:val="18"/>
        </w:rPr>
        <w:tab/>
      </w:r>
      <w:r>
        <w:rPr>
          <w:spacing w:val="-1"/>
          <w:sz w:val="18"/>
          <w:u w:val="single"/>
        </w:rPr>
        <w:tab/>
        <w:t>(1,371</w:t>
      </w:r>
      <w:r>
        <w:rPr>
          <w:spacing w:val="-1"/>
          <w:sz w:val="18"/>
        </w:rPr>
        <w:t>)</w:t>
        <w:tab/>
      </w:r>
      <w:r>
        <w:rPr>
          <w:spacing w:val="-1"/>
          <w:sz w:val="18"/>
          <w:u w:val="single"/>
        </w:rPr>
        <w:tab/>
        <w:t>(13,475</w:t>
      </w:r>
      <w:r>
        <w:rPr>
          <w:spacing w:val="-1"/>
          <w:sz w:val="18"/>
        </w:rPr>
        <w:t>)</w:t>
        <w:tab/>
      </w:r>
      <w:r>
        <w:rPr>
          <w:spacing w:val="-1"/>
          <w:sz w:val="18"/>
          <w:u w:val="single"/>
        </w:rPr>
        <w:tab/>
        <w:t>2,221</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spacing w:val="-1"/>
          <w:sz w:val="18"/>
        </w:rPr>
      </w:pPr>
      <w:r>
        <w:rPr>
          <w:spacing w:val="-1"/>
          <w:sz w:val="18"/>
        </w:rPr>
        <w:t>Depreciation and amortization</w:t>
        <w:tab/>
        <w:tab/>
      </w:r>
      <w:r>
        <w:rPr>
          <w:spacing w:val="-1"/>
          <w:sz w:val="18"/>
          <w:u w:val="single"/>
        </w:rPr>
        <w:tab/>
        <w:t>1,917</w:t>
      </w:r>
      <w:r>
        <w:rPr>
          <w:spacing w:val="-1"/>
          <w:sz w:val="18"/>
        </w:rPr>
        <w:tab/>
      </w:r>
      <w:r>
        <w:rPr>
          <w:spacing w:val="-1"/>
          <w:sz w:val="18"/>
          <w:u w:val="single"/>
        </w:rPr>
        <w:tab/>
        <w:t>5,265</w:t>
      </w:r>
      <w:r>
        <w:rPr>
          <w:spacing w:val="-1"/>
          <w:sz w:val="18"/>
        </w:rPr>
        <w:tab/>
      </w:r>
      <w:r>
        <w:rPr>
          <w:spacing w:val="-1"/>
          <w:sz w:val="18"/>
          <w:u w:val="single"/>
        </w:rPr>
        <w:tab/>
        <w:t>663</w:t>
      </w:r>
      <w:r>
        <w:rPr>
          <w:spacing w:val="-2"/>
          <w:kern w:val="2"/>
          <w:sz w:val="21"/>
        </w:rPr>
        <w:tab/>
      </w:r>
      <w:r>
        <w:rPr>
          <w:spacing w:val="-1"/>
          <w:sz w:val="18"/>
          <w:u w:val="single"/>
        </w:rPr>
        <w:tab/>
        <w:t>547</w:t>
      </w:r>
      <w:r>
        <w:rPr>
          <w:spacing w:val="-1"/>
          <w:sz w:val="18"/>
        </w:rPr>
        <w:tab/>
      </w:r>
      <w:r>
        <w:rPr>
          <w:spacing w:val="-1"/>
          <w:sz w:val="18"/>
          <w:u w:val="single"/>
        </w:rPr>
        <w:tab/>
        <w:t>8,392</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jc w:val="both"/>
        <w:rPr>
          <w:spacing w:val="-1"/>
          <w:sz w:val="18"/>
        </w:rPr>
      </w:pPr>
      <w:r>
        <w:rPr>
          <w:spacing w:val="-1"/>
          <w:sz w:val="18"/>
        </w:rPr>
      </w:r>
    </w:p>
    <w:p>
      <w:pPr>
        <w:pStyle w:val="Normal"/>
        <w:pBdr>
          <w:bottom w:val="single" w:sz="4" w:space="1" w:color="000000"/>
        </w:pBdr>
        <w:tabs>
          <w:tab w:val="clear" w:pos="720"/>
          <w:tab w:val="left" w:pos="-1440" w:leader="none"/>
          <w:tab w:val="left" w:pos="-720" w:leader="none"/>
          <w:tab w:val="left" w:pos="180" w:leader="none"/>
        </w:tabs>
        <w:suppressAutoHyphens w:val="true"/>
        <w:jc w:val="both"/>
        <w:rPr>
          <w:spacing w:val="-1"/>
          <w:sz w:val="18"/>
        </w:rPr>
      </w:pPr>
      <w:r>
        <w:rPr>
          <w:spacing w:val="-1"/>
          <w:sz w:val="18"/>
        </w:rPr>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40" w:after="0"/>
        <w:jc w:val="both"/>
        <w:rPr>
          <w:spacing w:val="-1"/>
          <w:sz w:val="18"/>
        </w:rPr>
      </w:pPr>
      <w:r>
        <w:rPr>
          <w:spacing w:val="-1"/>
          <w:sz w:val="18"/>
        </w:rPr>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40" w:after="0"/>
        <w:jc w:val="both"/>
        <w:rPr>
          <w:spacing w:val="-1"/>
          <w:sz w:val="18"/>
        </w:rPr>
      </w:pPr>
      <w:r>
        <w:rPr>
          <w:b/>
          <w:spacing w:val="-1"/>
          <w:sz w:val="18"/>
        </w:rPr>
        <w:t>Total assets at March 31, 2001</w:t>
      </w:r>
      <w:r>
        <w:rPr>
          <w:spacing w:val="-1"/>
          <w:sz w:val="18"/>
        </w:rPr>
        <w:tab/>
        <w:tab/>
      </w:r>
      <w:r>
        <w:rPr>
          <w:spacing w:val="-1"/>
          <w:sz w:val="18"/>
          <w:u w:val="single"/>
        </w:rPr>
        <w:t>$</w:t>
        <w:tab/>
        <w:t>908,181</w:t>
      </w:r>
      <w:r>
        <w:rPr>
          <w:spacing w:val="-1"/>
          <w:sz w:val="18"/>
        </w:rPr>
        <w:tab/>
      </w:r>
      <w:r>
        <w:rPr>
          <w:spacing w:val="-1"/>
          <w:sz w:val="18"/>
          <w:u w:val="single"/>
        </w:rPr>
        <w:t>$</w:t>
        <w:tab/>
        <w:t>287,654</w:t>
      </w:r>
      <w:r>
        <w:rPr>
          <w:spacing w:val="-1"/>
          <w:sz w:val="18"/>
        </w:rPr>
        <w:tab/>
      </w:r>
      <w:r>
        <w:rPr>
          <w:spacing w:val="-1"/>
          <w:sz w:val="18"/>
          <w:u w:val="single"/>
        </w:rPr>
        <w:t>$</w:t>
        <w:tab/>
        <w:t>92,291</w:t>
      </w:r>
      <w:r>
        <w:rPr>
          <w:spacing w:val="-1"/>
          <w:sz w:val="18"/>
        </w:rPr>
        <w:tab/>
      </w:r>
      <w:r>
        <w:rPr>
          <w:spacing w:val="-1"/>
          <w:sz w:val="18"/>
          <w:u w:val="single"/>
        </w:rPr>
        <w:t>$</w:t>
        <w:tab/>
        <w:t>31,139</w:t>
      </w:r>
      <w:r>
        <w:rPr>
          <w:spacing w:val="-1"/>
          <w:sz w:val="18"/>
        </w:rPr>
        <w:tab/>
      </w:r>
      <w:r>
        <w:rPr>
          <w:spacing w:val="-1"/>
          <w:sz w:val="18"/>
          <w:u w:val="single"/>
        </w:rPr>
        <w:t>$</w:t>
        <w:tab/>
        <w:t>1,319,265</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spacing w:val="-1"/>
          <w:sz w:val="18"/>
        </w:rPr>
      </w:pPr>
      <w:r>
        <w:rPr>
          <w:b/>
          <w:spacing w:val="-1"/>
          <w:sz w:val="18"/>
        </w:rPr>
        <w:t>Total assets at December 31, 2000</w:t>
      </w:r>
      <w:r>
        <w:rPr>
          <w:spacing w:val="-1"/>
          <w:sz w:val="18"/>
        </w:rPr>
        <w:tab/>
        <w:tab/>
      </w:r>
      <w:r>
        <w:rPr>
          <w:spacing w:val="-1"/>
          <w:sz w:val="18"/>
          <w:u w:val="single"/>
        </w:rPr>
        <w:tab/>
        <w:t>999,973</w:t>
      </w:r>
      <w:r>
        <w:rPr>
          <w:spacing w:val="-1"/>
          <w:sz w:val="18"/>
        </w:rPr>
        <w:tab/>
      </w:r>
      <w:r>
        <w:rPr>
          <w:spacing w:val="-1"/>
          <w:sz w:val="18"/>
          <w:u w:val="single"/>
        </w:rPr>
        <w:tab/>
        <w:t>288,956</w:t>
      </w:r>
      <w:r>
        <w:rPr>
          <w:spacing w:val="-1"/>
          <w:sz w:val="18"/>
        </w:rPr>
        <w:tab/>
      </w:r>
      <w:r>
        <w:rPr>
          <w:spacing w:val="-1"/>
          <w:sz w:val="18"/>
          <w:u w:val="single"/>
        </w:rPr>
        <w:tab/>
        <w:t>124,427</w:t>
      </w:r>
      <w:r>
        <w:rPr>
          <w:spacing w:val="-1"/>
          <w:sz w:val="18"/>
        </w:rPr>
        <w:tab/>
      </w:r>
      <w:r>
        <w:rPr>
          <w:spacing w:val="-1"/>
          <w:sz w:val="18"/>
          <w:u w:val="single"/>
        </w:rPr>
        <w:tab/>
        <w:t>79,637</w:t>
      </w:r>
      <w:r>
        <w:rPr>
          <w:spacing w:val="-1"/>
          <w:sz w:val="18"/>
        </w:rPr>
        <w:tab/>
      </w:r>
      <w:r>
        <w:rPr>
          <w:spacing w:val="-1"/>
          <w:sz w:val="18"/>
          <w:u w:val="single"/>
        </w:rPr>
        <w:tab/>
        <w:t>1,492,993</w:t>
      </w:r>
    </w:p>
    <w:p>
      <w:pPr>
        <w:pStyle w:val="Normal"/>
        <w:pBdr>
          <w:bottom w:val="single" w:sz="4" w:space="1" w:color="000000"/>
        </w:pBdr>
        <w:tabs>
          <w:tab w:val="clear" w:pos="720"/>
          <w:tab w:val="left" w:pos="-1440" w:leader="none"/>
          <w:tab w:val="left" w:pos="-720" w:leader="none"/>
          <w:tab w:val="left" w:pos="180" w:leader="none"/>
        </w:tabs>
        <w:suppressAutoHyphens w:val="true"/>
        <w:spacing w:lineRule="exact" w:line="80"/>
        <w:jc w:val="both"/>
        <w:rPr>
          <w:spacing w:val="-1"/>
          <w:sz w:val="18"/>
        </w:rPr>
      </w:pPr>
      <w:r>
        <w:rPr>
          <w:spacing w:val="-1"/>
          <w:sz w:val="18"/>
        </w:rPr>
      </w:r>
    </w:p>
    <w:p>
      <w:pPr>
        <w:pStyle w:val="Normal"/>
        <w:pBdr>
          <w:bottom w:val="single" w:sz="4" w:space="1" w:color="000000"/>
        </w:pBdr>
        <w:tabs>
          <w:tab w:val="clear" w:pos="720"/>
          <w:tab w:val="left" w:pos="-1440" w:leader="none"/>
          <w:tab w:val="left" w:pos="-720" w:leader="none"/>
          <w:tab w:val="left" w:pos="180" w:leader="none"/>
        </w:tabs>
        <w:suppressAutoHyphens w:val="true"/>
        <w:jc w:val="both"/>
        <w:rPr>
          <w:spacing w:val="-1"/>
          <w:sz w:val="18"/>
        </w:rPr>
      </w:pPr>
      <w:r>
        <w:rPr>
          <w:spacing w:val="-1"/>
          <w:sz w:val="18"/>
        </w:rPr>
      </w:r>
    </w:p>
    <w:p>
      <w:pPr>
        <w:pStyle w:val="Normal"/>
        <w:numPr>
          <w:ilvl w:val="0"/>
          <w:numId w:val="4"/>
        </w:numPr>
        <w:suppressAutoHyphens w:val="true"/>
        <w:spacing w:before="20" w:after="0"/>
        <w:jc w:val="both"/>
        <w:rPr>
          <w:spacing w:val="-3"/>
          <w:sz w:val="17"/>
        </w:rPr>
      </w:pPr>
      <w:r>
        <w:rPr>
          <w:spacing w:val="-3"/>
          <w:sz w:val="17"/>
        </w:rPr>
        <w:t>Intersegment revenue for North American Crude Oil – EOR and West Coast Operations is at prices comparable to those received from external customers.  Intersegment revenue for Pipeline Operations is transportation costs charged to North American Crude Oil – EOR for the transport of crude oil at published pipeline tariffs and.</w:t>
      </w:r>
    </w:p>
    <w:p>
      <w:pPr>
        <w:pStyle w:val="Normal"/>
        <w:numPr>
          <w:ilvl w:val="0"/>
          <w:numId w:val="4"/>
        </w:numPr>
        <w:suppressAutoHyphens w:val="true"/>
        <w:spacing w:before="20" w:after="0"/>
        <w:jc w:val="both"/>
        <w:rPr>
          <w:spacing w:val="-3"/>
          <w:sz w:val="17"/>
        </w:rPr>
      </w:pPr>
      <w:r>
        <w:rPr>
          <w:spacing w:val="-3"/>
          <w:sz w:val="17"/>
        </w:rPr>
        <w:t>Corporate and Other also includes intersegment eliminations.</w:t>
      </w:r>
    </w:p>
    <w:p>
      <w:pPr>
        <w:pStyle w:val="Normal"/>
        <w:tabs>
          <w:tab w:val="clear" w:pos="720"/>
          <w:tab w:val="left" w:pos="360" w:leader="none"/>
        </w:tabs>
        <w:jc w:val="both"/>
        <w:rPr>
          <w:spacing w:val="-2"/>
          <w:kern w:val="2"/>
          <w:sz w:val="21"/>
        </w:rPr>
      </w:pPr>
      <w:r>
        <w:rPr>
          <w:spacing w:val="-2"/>
          <w:kern w:val="2"/>
          <w:sz w:val="21"/>
        </w:rPr>
      </w:r>
    </w:p>
    <w:p>
      <w:pPr>
        <w:pStyle w:val="Normal"/>
        <w:tabs>
          <w:tab w:val="clear" w:pos="720"/>
          <w:tab w:val="left" w:pos="360" w:leader="none"/>
        </w:tabs>
        <w:jc w:val="both"/>
        <w:rPr>
          <w:spacing w:val="-2"/>
          <w:kern w:val="2"/>
          <w:sz w:val="21"/>
        </w:rPr>
      </w:pPr>
      <w:r>
        <w:rPr>
          <w:spacing w:val="-2"/>
          <w:kern w:val="2"/>
          <w:sz w:val="21"/>
        </w:rPr>
      </w:r>
    </w:p>
    <w:p>
      <w:pPr>
        <w:pStyle w:val="Normal"/>
        <w:tabs>
          <w:tab w:val="clear" w:pos="720"/>
          <w:tab w:val="left" w:pos="360" w:leader="none"/>
        </w:tabs>
        <w:jc w:val="both"/>
        <w:rPr>
          <w:b/>
          <w:sz w:val="21"/>
        </w:rPr>
      </w:pPr>
      <w:r>
        <w:rPr>
          <w:b/>
          <w:sz w:val="21"/>
        </w:rPr>
        <w:t>8.</w:t>
        <w:tab/>
        <w:t>Subsequent Events</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jc w:val="both"/>
        <w:rPr>
          <w:b/>
          <w:spacing w:val="-2"/>
          <w:kern w:val="2"/>
          <w:sz w:val="21"/>
        </w:rPr>
      </w:pPr>
      <w:r>
        <w:rPr>
          <w:b/>
          <w:spacing w:val="-2"/>
          <w:kern w:val="2"/>
          <w:sz w:val="21"/>
        </w:rPr>
      </w:r>
    </w:p>
    <w:p>
      <w:pPr>
        <w:sectPr>
          <w:headerReference w:type="default" r:id="rId10"/>
          <w:headerReference w:type="first" r:id="rId11"/>
          <w:footerReference w:type="default" r:id="rId12"/>
          <w:footerReference w:type="first" r:id="rId13"/>
          <w:type w:val="nextPage"/>
          <w:pgSz w:w="12240" w:h="15840"/>
          <w:pgMar w:left="1440" w:right="1440" w:gutter="0" w:header="1080" w:top="1440" w:footer="1080" w:bottom="1440"/>
          <w:pgNumType w:fmt="decimal"/>
          <w:formProt w:val="false"/>
          <w:textDirection w:val="lrTb"/>
          <w:docGrid w:type="default" w:linePitch="360" w:charSpace="0"/>
        </w:sectPr>
        <w:pStyle w:val="Normal"/>
        <w:jc w:val="both"/>
        <w:rPr>
          <w:sz w:val="21"/>
        </w:rPr>
      </w:pPr>
      <w:r>
        <w:rPr>
          <w:sz w:val="21"/>
        </w:rPr>
        <w:tab/>
        <w:t>On April 20, 2001, the Board of Directors of EOTT Energy Corp., as General Partner, declared the Partnership's regular quarterly cash distribution of $0.475 per Common Unit ($9.0 million) for the period January 1, 2001 through March 31, 2001.  In addition, a cash distribution of $0.20 per Unit ($1.8 million) was declared for all Subordinated Units for the period January1, 2001 through March 31, 2001.  The first quarter distribution of $10.8 million will be paid on May 15, 2001 to the General Partner and all Common and Subordinated Unitholders of record as of April 30, 2001.  The distribution will be paid utilizing Available Cash from the Partnership.</w:t>
      </w:r>
    </w:p>
    <w:p>
      <w:pPr>
        <w:pStyle w:val="Normal"/>
        <w:tabs>
          <w:tab w:val="clear" w:pos="720"/>
          <w:tab w:val="left" w:pos="360" w:leader="none"/>
        </w:tabs>
        <w:jc w:val="both"/>
        <w:rPr>
          <w:b/>
          <w:sz w:val="21"/>
        </w:rPr>
      </w:pPr>
      <w:r>
        <w:rPr>
          <w:b/>
          <w:sz w:val="21"/>
        </w:rPr>
      </w:r>
    </w:p>
    <w:p>
      <w:pPr>
        <w:pStyle w:val="Heading6"/>
        <w:tabs>
          <w:tab w:val="clear" w:pos="0"/>
          <w:tab w:val="left" w:pos="-1440" w:leader="none"/>
          <w:tab w:val="left" w:pos="-720" w:leader="none"/>
          <w:tab w:val="left" w:pos="360" w:leader="none"/>
        </w:tabs>
        <w:suppressAutoHyphens w:val="false"/>
        <w:ind w:hanging="0" w:start="0"/>
        <w:rPr/>
      </w:pPr>
      <w:r>
        <w:rPr/>
        <w:t>Information Regarding Forward-Looking Information</w:t>
      </w:r>
    </w:p>
    <w:p>
      <w:pPr>
        <w:pStyle w:val="Normal"/>
        <w:tabs>
          <w:tab w:val="clear" w:pos="720"/>
          <w:tab w:val="left" w:pos="360" w:leader="none"/>
        </w:tabs>
        <w:spacing w:lineRule="exact" w:line="200"/>
        <w:jc w:val="both"/>
        <w:rPr>
          <w:sz w:val="21"/>
        </w:rPr>
      </w:pPr>
      <w:r>
        <w:rPr>
          <w:sz w:val="21"/>
        </w:rPr>
      </w:r>
    </w:p>
    <w:p>
      <w:pPr>
        <w:pStyle w:val="Normal"/>
        <w:jc w:val="both"/>
        <w:rPr/>
      </w:pPr>
      <w:r>
        <w:rPr/>
        <w:tab/>
      </w:r>
      <w:r>
        <w:rPr>
          <w:sz w:val="21"/>
        </w:rPr>
        <w:t>The statements in this Quarterly Report on Form 10–Q that are not historical information are forward-looking statements within the meaning of Section 27A of the Securities Act of 1933 and Section 21E of the Securities Exchange Act of 1934.  Such forward-looking statements include the discussions in “Management’s Discussion and Analysis of Financial Condition and Results of Operations.”  Any forward-looking statements are not guarantees of future performance, and involve significant risks and uncertainties, and actual results may vary materially from those in the forward-looking statements as a result of various factors. Important factors that could cause actual results to differ materially from those in the forward-looking statements herein include the Partnership’s success in obtaining additional lease barrels and maintaining existing lease crude oil barrels, demand for various grades of crude oil and the resulting changes in pricing relationships, developments relating to possible acquisitions or business combination opportunities, industry conditions, the ability of the Partnership to avoid environmental liabilities, developments  at FERC relating to pipeline tariff regulation, the successful resolution of litigation, the success of the Partnership’s risk management activities, and conditions of the capital markets and equity markets during the periods covered by the forward-looking statements.  Although the Partnership believes that its expectations regarding future events are based on reasonable assumptions, it can give no assurance that these are all the factors that could cause actual results to vary materially from the forward-looking statements or that its expectations regarding future developments will prove to be correct.</w:t>
      </w:r>
    </w:p>
    <w:p>
      <w:pPr>
        <w:pStyle w:val="Normal"/>
        <w:tabs>
          <w:tab w:val="left" w:pos="-1440" w:leader="none"/>
          <w:tab w:val="left" w:pos="-720" w:leader="none"/>
          <w:tab w:val="left" w:pos="0" w:leader="none"/>
          <w:tab w:val="left" w:pos="355" w:leader="none"/>
          <w:tab w:val="left" w:pos="720" w:leader="none"/>
        </w:tabs>
        <w:spacing w:lineRule="exact" w:line="220"/>
        <w:jc w:val="both"/>
        <w:rPr>
          <w:spacing w:val="-2"/>
          <w:kern w:val="2"/>
          <w:sz w:val="21"/>
        </w:rPr>
      </w:pPr>
      <w:r>
        <w:rPr>
          <w:spacing w:val="-2"/>
          <w:kern w:val="2"/>
          <w:sz w:val="21"/>
        </w:rPr>
      </w:r>
    </w:p>
    <w:p>
      <w:pPr>
        <w:pStyle w:val="Heading2"/>
        <w:tabs>
          <w:tab w:val="clear" w:pos="259"/>
          <w:tab w:val="clear" w:pos="540"/>
          <w:tab w:val="clear" w:pos="6840"/>
          <w:tab w:val="clear" w:pos="7020"/>
          <w:tab w:val="clear" w:pos="8100"/>
          <w:tab w:val="clear" w:pos="8280"/>
          <w:tab w:val="clear" w:pos="9360"/>
          <w:tab w:val="left" w:pos="-1440" w:leader="none"/>
          <w:tab w:val="left" w:pos="-720" w:leader="none"/>
          <w:tab w:val="left" w:pos="0" w:leader="none"/>
          <w:tab w:val="left" w:pos="355" w:leader="none"/>
          <w:tab w:val="left" w:pos="720" w:leader="none"/>
        </w:tabs>
        <w:suppressAutoHyphens w:val="false"/>
        <w:spacing w:lineRule="auto" w:line="240"/>
        <w:ind w:hanging="0" w:start="0"/>
        <w:rPr/>
      </w:pPr>
      <w:r>
        <w:rPr/>
        <w:t>Overview</w:t>
      </w:r>
    </w:p>
    <w:p>
      <w:pPr>
        <w:pStyle w:val="Normal"/>
        <w:tabs>
          <w:tab w:val="left" w:pos="-1440" w:leader="none"/>
          <w:tab w:val="left" w:pos="-720" w:leader="none"/>
          <w:tab w:val="left" w:pos="0" w:leader="none"/>
          <w:tab w:val="left" w:pos="355" w:leader="none"/>
          <w:tab w:val="left" w:pos="720" w:leader="none"/>
        </w:tabs>
        <w:spacing w:lineRule="exact" w:line="200"/>
        <w:jc w:val="both"/>
        <w:rPr>
          <w:spacing w:val="-2"/>
          <w:kern w:val="2"/>
          <w:sz w:val="21"/>
        </w:rPr>
      </w:pPr>
      <w:r>
        <w:rPr>
          <w:spacing w:val="-2"/>
          <w:kern w:val="2"/>
          <w:sz w:val="21"/>
        </w:rPr>
      </w:r>
    </w:p>
    <w:p>
      <w:pPr>
        <w:pStyle w:val="Normal"/>
        <w:tabs>
          <w:tab w:val="left" w:pos="360" w:leader="none"/>
          <w:tab w:val="left" w:pos="720" w:leader="none"/>
        </w:tabs>
        <w:jc w:val="both"/>
        <w:rPr/>
      </w:pPr>
      <w:r>
        <w:rPr>
          <w:sz w:val="21"/>
        </w:rPr>
        <w:tab/>
        <w:t xml:space="preserve">Through its affiliated limited partnerships, EOTT Energy Operating Limited Partnership, EOTT Energy Canada Limited Partnership, and EOTT Energy Pipeline Limited Partnership, EOTT purchases, gathers, transports, markets, stores and resells crude oil and other petroleum products.  EOTT’s principal business segments are North American Crude Oil – East of Rockies, Pipeline Operations and West Coast Operations (see Note </w:t>
      </w:r>
      <w:r>
        <w:rPr>
          <w:color w:val="FF0000"/>
          <w:sz w:val="21"/>
        </w:rPr>
        <w:t xml:space="preserve">7 </w:t>
      </w:r>
      <w:r>
        <w:rPr>
          <w:sz w:val="21"/>
        </w:rPr>
        <w:t>to the Condensed Consolidated Financial Statements for certain financial information by business segment).</w:t>
      </w:r>
    </w:p>
    <w:p>
      <w:pPr>
        <w:pStyle w:val="Normal"/>
        <w:tabs>
          <w:tab w:val="left" w:pos="360" w:leader="none"/>
          <w:tab w:val="left" w:pos="720" w:leader="none"/>
        </w:tabs>
        <w:spacing w:lineRule="exact" w:line="220"/>
        <w:jc w:val="both"/>
        <w:rPr>
          <w:sz w:val="21"/>
        </w:rPr>
      </w:pPr>
      <w:r>
        <w:rPr>
          <w:sz w:val="21"/>
        </w:rPr>
      </w:r>
    </w:p>
    <w:p>
      <w:pPr>
        <w:pStyle w:val="Heading7"/>
        <w:ind w:hanging="0" w:start="0"/>
        <w:rPr>
          <w:sz w:val="21"/>
        </w:rPr>
      </w:pPr>
      <w:r>
        <w:rPr>
          <w:sz w:val="21"/>
        </w:rPr>
        <w:t>Gathering and Marketing Operations</w:t>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sz w:val="21"/>
        </w:rPr>
        <w:tab/>
        <w:t>In general, as EOTT purchases crude oil in its gathering and marketing operations, EOTT establishes a margin by selling crude oil for physical delivery to third party users, such as independent refiners or major oil companies, or by entering into a future delivery obligation with respect to futures contracts on the NYMEX, thereby minimizing or reducing exposure to price fluctuations.  Through these transactions, EOTT seeks to maintain positions that are substantially balanced between crude oil purchases and sales or future delivery obligations.  As a result, changes in the absolute price level for crude oil do not necessarily impact the margin from gathering and marketing.</w:t>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sz w:val="21"/>
        </w:rPr>
        <w:tab/>
        <w:t xml:space="preserve">Throughout the marketing process EOTT generally seeks to maintain a substantially balanced risk position at all times. EOTT does have certain risks that cannot be completely hedged, such as a portion of certain basis risks.  Basis risk arises when crude oil is acquired by a purchase or exchange that does not meet the specifications of the crude oil EOTT is contractually obligated to deliver, whether in terms of geographic location, grade or delivery schedule.  In accordance with its risk management policy, EOTT seeks to limit price risk and maintain margins through a combination of physical sales, NYMEX hedging activities and exchanges of crude oil with third parties. </w:t>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sz w:val="21"/>
        </w:rPr>
        <w:tab/>
        <w:t xml:space="preserve">EOTT’s operating results are sensitive to a number of factors including: grades or types of crude oil, variability in lease crude oil barrels produced, individual refinery demand for specific grades of crude oil, area </w:t>
      </w:r>
      <w:r>
        <w:br w:type="page"/>
      </w:r>
    </w:p>
    <w:p>
      <w:pPr>
        <w:pStyle w:val="Normal"/>
        <w:tabs>
          <w:tab w:val="left" w:pos="360" w:leader="none"/>
          <w:tab w:val="left" w:pos="720" w:leader="none"/>
        </w:tabs>
        <w:jc w:val="both"/>
        <w:rPr>
          <w:sz w:val="21"/>
        </w:rPr>
      </w:pPr>
      <w:r>
        <w:rPr>
          <w:sz w:val="21"/>
        </w:rPr>
        <w:t>market price structures for the different grades of crude oil, location of customers, availability of transportation facilities, and timing and costs (including storage) involved in delivering crude oil to the appropriate customer.</w:t>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sz w:val="21"/>
        </w:rPr>
        <w:tab/>
        <w:t>Gross margin from gathering, marketing and pipeline operations varies from period-to-period, depending to a significant extent upon changes in the supply and demand of crude oil and the resulting changes in United States crude oil inventory levels.  The gross margin from gathering and marketing operations is generated by the difference between the price of crude oil at the point of purchase and the price of crude oil at the point of sale, minus the associated costs of gathering and transportation.  In addition to purchasing crude oil at the wellhead, EOTT purchases crude oil in bulk at major pipeline terminal points and major marketing points and enters into exchange transactions with third parties.  These bulk and exchange transactions are characterized by large volumes and narrow profit margins on purchase and sales transactions, and the absolute price levels for crude oil do not necessarily bear a relationship to gross margin, although such price levels significantly impact revenues and cost of sales.  Because period-to-period variations in revenues and cost of sales are not generally meaningful in analyzing the variation in gross margin for gathering and marketing operations such changes are not addressed in the following discussion.</w:t>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sz w:val="21"/>
        </w:rPr>
        <w:tab/>
        <w:t>EOTT operates the business differently as market conditions change.  During periods when the demand for crude oil is weak, the market for crude oil is often in contango, meaning that the price of crude oil in a given month is less than the price of crude oil in a subsequent month.  In a contango market, storing crude oil is favorable, because storage owners at major trading locations can simultaneously purchase production at low current prices for storage and sell at higher prices for future delivery.  When there is a higher demand than supply of crude oil in the near term, the market is backwardated, meaning that the price of crude oil in a given month exceeds the price of crude oil in a subsequent month.  A backwardated market has a positive impact on marketing margins because crude oil gatherers can capture a premium for prompt deliveries.</w:t>
      </w:r>
    </w:p>
    <w:p>
      <w:pPr>
        <w:pStyle w:val="Normal"/>
        <w:tabs>
          <w:tab w:val="left" w:pos="360" w:leader="none"/>
          <w:tab w:val="left" w:pos="720" w:leader="none"/>
        </w:tabs>
        <w:jc w:val="both"/>
        <w:rPr>
          <w:sz w:val="21"/>
        </w:rPr>
      </w:pPr>
      <w:r>
        <w:rPr>
          <w:sz w:val="21"/>
        </w:rPr>
      </w:r>
    </w:p>
    <w:p>
      <w:pPr>
        <w:pStyle w:val="Heading8"/>
        <w:ind w:hanging="0" w:start="0"/>
        <w:rPr/>
      </w:pPr>
      <w:r>
        <w:rPr/>
        <w:t>Pipeline Operations</w:t>
      </w:r>
    </w:p>
    <w:p>
      <w:pPr>
        <w:pStyle w:val="Normal"/>
        <w:tabs>
          <w:tab w:val="left" w:pos="355" w:leader="none"/>
          <w:tab w:val="left" w:pos="720" w:leader="none"/>
        </w:tabs>
        <w:jc w:val="both"/>
        <w:rPr>
          <w:sz w:val="21"/>
        </w:rPr>
      </w:pPr>
      <w:r>
        <w:rPr>
          <w:sz w:val="21"/>
        </w:rPr>
      </w:r>
    </w:p>
    <w:p>
      <w:pPr>
        <w:pStyle w:val="Normal"/>
        <w:tabs>
          <w:tab w:val="left" w:pos="355" w:leader="none"/>
          <w:tab w:val="left" w:pos="720" w:leader="none"/>
        </w:tabs>
        <w:jc w:val="both"/>
        <w:rPr>
          <w:sz w:val="21"/>
        </w:rPr>
      </w:pPr>
      <w:r>
        <w:rPr>
          <w:sz w:val="21"/>
        </w:rPr>
        <w:tab/>
        <w:t xml:space="preserve">Pipeline revenues and gross margins are primarily a function of the level of throughput and storage activity and are generated by the difference between the regulated published tariff and the fixed and variable costs of operating the pipeline.  A majority of the pipeline revenues are generated by transporting crude oil at published pipeline tariffs for the North American Crude Oil – East of Rockies business segment.  Approximately 73% of the revenues of the Pipeline Operations business segment for the three months ended March 31, 2001, were generated from tariffs charged to the North American Crude Oil – East of Rockies business segment.  Changes in revenues and pipeline operating costs, therefore, are relevant to the analysis of financial results of the Pipeline Operations and are addressed in the following discussion of Pipeline Operations.  </w:t>
      </w:r>
    </w:p>
    <w:p>
      <w:pPr>
        <w:pStyle w:val="Normal"/>
        <w:tabs>
          <w:tab w:val="left" w:pos="355" w:leader="none"/>
          <w:tab w:val="left" w:pos="720" w:leader="none"/>
        </w:tabs>
        <w:jc w:val="both"/>
        <w:rPr>
          <w:sz w:val="21"/>
        </w:rPr>
      </w:pPr>
      <w:r>
        <w:rPr>
          <w:sz w:val="21"/>
        </w:rPr>
      </w:r>
    </w:p>
    <w:p>
      <w:pPr>
        <w:pStyle w:val="Normal"/>
        <w:tabs>
          <w:tab w:val="left" w:pos="355" w:leader="none"/>
          <w:tab w:val="left" w:pos="720" w:leader="none"/>
        </w:tabs>
        <w:jc w:val="both"/>
        <w:rPr>
          <w:sz w:val="21"/>
        </w:rPr>
      </w:pPr>
      <w:r>
        <w:rPr>
          <w:sz w:val="21"/>
        </w:rPr>
        <w:tab/>
        <w:t>Effective October 1, 2000, the General Partner entered into an agreement with Enron Pipeline Services Company ("EPSC"), a wholly owned subsidiary of Enron Corp., to provide certain operating and administrative services to the General Partner.  These services were previously performed directly by the General Partner.  The agreement provides that the General Partner will reimburse EPSC for its costs and expenses in rendering the services.  The General Partner will in turn be reimbursed by the Partnership.  The arrangement is not expected to increase the costs and expenses borne by the Partnership.</w:t>
      </w:r>
    </w:p>
    <w:p>
      <w:pPr>
        <w:pStyle w:val="Normal"/>
        <w:tabs>
          <w:tab w:val="left" w:pos="355" w:leader="none"/>
          <w:tab w:val="left" w:pos="720" w:leader="none"/>
        </w:tabs>
        <w:jc w:val="both"/>
        <w:rPr>
          <w:sz w:val="21"/>
        </w:rPr>
      </w:pPr>
      <w:r>
        <w:rPr>
          <w:sz w:val="21"/>
        </w:rPr>
      </w:r>
    </w:p>
    <w:p>
      <w:pPr>
        <w:pStyle w:val="Normal"/>
        <w:tabs>
          <w:tab w:val="left" w:pos="-1440" w:leader="none"/>
          <w:tab w:val="left" w:pos="-720" w:leader="none"/>
          <w:tab w:val="left" w:pos="0" w:leader="none"/>
          <w:tab w:val="left" w:pos="355" w:leader="none"/>
          <w:tab w:val="left" w:pos="720" w:leader="none"/>
        </w:tabs>
        <w:jc w:val="both"/>
        <w:rPr>
          <w:sz w:val="21"/>
        </w:rPr>
      </w:pPr>
      <w:r>
        <w:rPr>
          <w:sz w:val="21"/>
        </w:rPr>
        <w:tab/>
        <w:t>The following review of the results of operations and financial condition should be read in conjunction with the Condensed Consolidated Financial Statements and Notes thereto.  Unless the context otherwise requires, the term “EOTT” hereafter refers to the Partnership and its affiliated partnerships.</w:t>
      </w:r>
    </w:p>
    <w:p>
      <w:pPr>
        <w:pStyle w:val="Normal"/>
        <w:tabs>
          <w:tab w:val="left" w:pos="-1440" w:leader="none"/>
          <w:tab w:val="left" w:pos="-720" w:leader="none"/>
          <w:tab w:val="left" w:pos="0" w:leader="none"/>
          <w:tab w:val="left" w:pos="355" w:leader="none"/>
          <w:tab w:val="left" w:pos="720" w:leader="none"/>
        </w:tabs>
        <w:jc w:val="both"/>
        <w:rPr>
          <w:b/>
          <w:spacing w:val="-2"/>
          <w:kern w:val="2"/>
          <w:sz w:val="21"/>
        </w:rPr>
      </w:pPr>
      <w:r>
        <w:rPr>
          <w:b/>
          <w:spacing w:val="-2"/>
          <w:kern w:val="2"/>
          <w:sz w:val="21"/>
        </w:rPr>
      </w:r>
    </w:p>
    <w:p>
      <w:pPr>
        <w:pStyle w:val="Normal"/>
        <w:tabs>
          <w:tab w:val="left" w:pos="-1440" w:leader="none"/>
          <w:tab w:val="left" w:pos="-720" w:leader="none"/>
          <w:tab w:val="left" w:pos="0" w:leader="none"/>
          <w:tab w:val="left" w:pos="355" w:leader="none"/>
          <w:tab w:val="left" w:pos="720" w:leader="none"/>
        </w:tabs>
        <w:jc w:val="both"/>
        <w:rPr>
          <w:b/>
          <w:spacing w:val="-2"/>
          <w:kern w:val="2"/>
          <w:sz w:val="21"/>
        </w:rPr>
      </w:pPr>
      <w:r>
        <w:rPr>
          <w:b/>
          <w:spacing w:val="-2"/>
          <w:kern w:val="2"/>
          <w:sz w:val="21"/>
        </w:rPr>
      </w:r>
    </w:p>
    <w:p>
      <w:pPr>
        <w:pStyle w:val="Normal"/>
        <w:tabs>
          <w:tab w:val="left" w:pos="-1440" w:leader="none"/>
          <w:tab w:val="left" w:pos="-720" w:leader="none"/>
          <w:tab w:val="left" w:pos="0" w:leader="none"/>
          <w:tab w:val="left" w:pos="355" w:leader="none"/>
          <w:tab w:val="left" w:pos="720" w:leader="none"/>
        </w:tabs>
        <w:jc w:val="both"/>
        <w:rPr>
          <w:b/>
          <w:spacing w:val="-2"/>
          <w:kern w:val="2"/>
          <w:sz w:val="21"/>
        </w:rPr>
      </w:pPr>
      <w:r>
        <w:rPr>
          <w:b/>
          <w:spacing w:val="-2"/>
          <w:kern w:val="2"/>
          <w:sz w:val="21"/>
        </w:rPr>
      </w:r>
    </w:p>
    <w:p>
      <w:pPr>
        <w:pStyle w:val="Normal"/>
        <w:tabs>
          <w:tab w:val="left" w:pos="-1440" w:leader="none"/>
          <w:tab w:val="left" w:pos="-720" w:leader="none"/>
          <w:tab w:val="left" w:pos="0" w:leader="none"/>
          <w:tab w:val="left" w:pos="355" w:leader="none"/>
          <w:tab w:val="left" w:pos="720" w:leader="none"/>
        </w:tabs>
        <w:jc w:val="both"/>
        <w:rPr>
          <w:b/>
          <w:spacing w:val="-2"/>
          <w:kern w:val="2"/>
          <w:sz w:val="21"/>
        </w:rPr>
      </w:pPr>
      <w:r>
        <w:rPr>
          <w:b/>
          <w:spacing w:val="-2"/>
          <w:kern w:val="2"/>
          <w:sz w:val="21"/>
        </w:rPr>
      </w:r>
    </w:p>
    <w:p>
      <w:pPr>
        <w:pStyle w:val="Normal"/>
        <w:tabs>
          <w:tab w:val="left" w:pos="-1440" w:leader="none"/>
          <w:tab w:val="left" w:pos="-720" w:leader="none"/>
          <w:tab w:val="left" w:pos="0" w:leader="none"/>
          <w:tab w:val="left" w:pos="355" w:leader="none"/>
          <w:tab w:val="left" w:pos="720" w:leader="none"/>
        </w:tabs>
        <w:jc w:val="both"/>
        <w:rPr>
          <w:b/>
          <w:spacing w:val="-2"/>
          <w:kern w:val="2"/>
          <w:sz w:val="21"/>
        </w:rPr>
      </w:pPr>
      <w:r>
        <w:rPr>
          <w:b/>
          <w:spacing w:val="-2"/>
          <w:kern w:val="2"/>
          <w:sz w:val="21"/>
        </w:rPr>
      </w:r>
    </w:p>
    <w:p>
      <w:pPr>
        <w:pStyle w:val="Normal"/>
        <w:tabs>
          <w:tab w:val="left" w:pos="-1440" w:leader="none"/>
          <w:tab w:val="left" w:pos="-720" w:leader="none"/>
          <w:tab w:val="left" w:pos="0" w:leader="none"/>
          <w:tab w:val="left" w:pos="355" w:leader="none"/>
          <w:tab w:val="left" w:pos="720" w:leader="none"/>
        </w:tabs>
        <w:jc w:val="both"/>
        <w:rPr>
          <w:spacing w:val="-2"/>
          <w:kern w:val="2"/>
          <w:sz w:val="21"/>
        </w:rPr>
      </w:pPr>
      <w:r>
        <w:rPr>
          <w:b/>
          <w:spacing w:val="-2"/>
          <w:kern w:val="2"/>
          <w:sz w:val="21"/>
        </w:rPr>
        <w:t>Results of Operations</w:t>
      </w:r>
    </w:p>
    <w:p>
      <w:pPr>
        <w:pStyle w:val="Normal"/>
        <w:tabs>
          <w:tab w:val="left" w:pos="-1440" w:leader="none"/>
          <w:tab w:val="left" w:pos="-720" w:leader="none"/>
          <w:tab w:val="left" w:pos="0" w:leader="none"/>
          <w:tab w:val="left" w:pos="355" w:leader="none"/>
          <w:tab w:val="left" w:pos="720" w:leader="none"/>
        </w:tabs>
        <w:jc w:val="both"/>
        <w:rPr>
          <w:spacing w:val="-2"/>
          <w:kern w:val="2"/>
          <w:sz w:val="21"/>
        </w:rPr>
      </w:pPr>
      <w:r>
        <w:rPr>
          <w:spacing w:val="-2"/>
          <w:kern w:val="2"/>
          <w:sz w:val="21"/>
        </w:rPr>
      </w:r>
    </w:p>
    <w:p>
      <w:pPr>
        <w:pStyle w:val="Normal"/>
        <w:tabs>
          <w:tab w:val="left" w:pos="-1440" w:leader="none"/>
          <w:tab w:val="left" w:pos="-720" w:leader="none"/>
          <w:tab w:val="left" w:pos="0" w:leader="none"/>
          <w:tab w:val="left" w:pos="355" w:leader="none"/>
          <w:tab w:val="left" w:pos="720" w:leader="none"/>
        </w:tabs>
        <w:jc w:val="both"/>
        <w:rPr>
          <w:spacing w:val="-2"/>
          <w:kern w:val="2"/>
          <w:sz w:val="21"/>
        </w:rPr>
      </w:pPr>
      <w:r>
        <w:rPr>
          <w:spacing w:val="-2"/>
          <w:kern w:val="2"/>
          <w:sz w:val="21"/>
        </w:rPr>
        <w:tab/>
        <w:t xml:space="preserve">EOTT reported net income of $6.3 million or $0.23 per diluted Unit for the first quarter of 2001 compared to net income of $2.2 million or $0.08 per diluted Unit for the first quarter of 2000.  EOTT adopted Statement of Financial Accounting Standards ("SFAS") No. 133 and changed the method of valuing inventory used in its energy trading activities from average cost to fair value effective January 1, 2001 (see Notes 2 and 3 to the Condensed Consolidated Financial Statements).  The net cumulative effect of adopting these accounting changes was $1.1 million and is reflected as an increase in net income in the Consolidated Statement of Operations.  Excluding the cumulative effect of accounting changes, net income for the first quarter of 2001 was $5.3 million or $.19 per diluted Unit, compared to net income of $2.2 million, or $0.08 per diluted Unit in the same period last year.  The increase in net income, excluding the cumulative effect of the accounting changes, compared to the same period in 2000 is due to favorable market conditions and continued elimination of certain low margin lease volumes in the North American Crude Oil-East of Rockies business segment, increased availability of blending stock for the West Coast crude oil operations and lower financing costs.  The factors increasing net income were partially offset by lower operating income from the Pipeline Operations due primarily to a decline of volumes in the West Texas and New Mexico pipelines, higher employee related expenses and higher depreciation related to recently installed information systems hardware and software. </w:t>
      </w:r>
    </w:p>
    <w:p>
      <w:pPr>
        <w:pStyle w:val="Normal"/>
        <w:tabs>
          <w:tab w:val="left" w:pos="-1440" w:leader="none"/>
          <w:tab w:val="left" w:pos="-720" w:leader="none"/>
          <w:tab w:val="left" w:pos="0" w:leader="none"/>
          <w:tab w:val="left" w:pos="355" w:leader="none"/>
          <w:tab w:val="left" w:pos="720" w:leader="none"/>
        </w:tabs>
        <w:jc w:val="both"/>
        <w:rPr>
          <w:spacing w:val="-2"/>
          <w:kern w:val="2"/>
          <w:sz w:val="21"/>
        </w:rPr>
      </w:pPr>
      <w:r>
        <w:rPr>
          <w:spacing w:val="-2"/>
          <w:kern w:val="2"/>
          <w:sz w:val="21"/>
        </w:rPr>
      </w:r>
    </w:p>
    <w:p>
      <w:pPr>
        <w:pStyle w:val="Normal"/>
        <w:tabs>
          <w:tab w:val="left" w:pos="-1440" w:leader="none"/>
          <w:tab w:val="left" w:pos="-720" w:leader="none"/>
          <w:tab w:val="left" w:pos="0" w:leader="none"/>
          <w:tab w:val="left" w:pos="355" w:leader="none"/>
          <w:tab w:val="left" w:pos="720" w:leader="none"/>
        </w:tabs>
        <w:jc w:val="both"/>
        <w:rPr>
          <w:spacing w:val="-2"/>
          <w:kern w:val="2"/>
          <w:sz w:val="21"/>
        </w:rPr>
      </w:pPr>
      <w:r>
        <w:rPr>
          <w:spacing w:val="-2"/>
          <w:kern w:val="2"/>
          <w:sz w:val="21"/>
        </w:rPr>
        <w:tab/>
      </w:r>
    </w:p>
    <w:p>
      <w:pPr>
        <w:pStyle w:val="Normal"/>
        <w:tabs>
          <w:tab w:val="left" w:pos="-1440" w:leader="none"/>
          <w:tab w:val="left" w:pos="-720" w:leader="none"/>
          <w:tab w:val="left" w:pos="0" w:leader="none"/>
          <w:tab w:val="left" w:pos="355" w:leader="none"/>
          <w:tab w:val="left" w:pos="720" w:leader="none"/>
        </w:tabs>
        <w:jc w:val="both"/>
        <w:rPr>
          <w:spacing w:val="-2"/>
          <w:kern w:val="2"/>
          <w:sz w:val="21"/>
        </w:rPr>
      </w:pPr>
      <w:r>
        <w:rPr>
          <w:spacing w:val="-2"/>
          <w:kern w:val="2"/>
          <w:sz w:val="21"/>
        </w:rPr>
        <w:t>Selected financial data for EOTT’s business segments are summarized below, in millions:</w:t>
      </w:r>
    </w:p>
    <w:p>
      <w:pPr>
        <w:pStyle w:val="Normal"/>
        <w:tabs>
          <w:tab w:val="clear" w:pos="720"/>
          <w:tab w:val="left" w:pos="-1440" w:leader="none"/>
          <w:tab w:val="left" w:pos="-720" w:leader="none"/>
          <w:tab w:val="left" w:pos="6480" w:leader="none"/>
          <w:tab w:val="center" w:pos="7560" w:leader="none"/>
          <w:tab w:val="right" w:pos="8730" w:leader="none"/>
        </w:tabs>
        <w:jc w:val="both"/>
        <w:rPr>
          <w:b/>
          <w:spacing w:val="-2"/>
          <w:kern w:val="2"/>
          <w:sz w:val="18"/>
        </w:rPr>
      </w:pPr>
      <w:r>
        <w:rPr>
          <w:b/>
          <w:spacing w:val="-2"/>
          <w:kern w:val="2"/>
          <w:sz w:val="18"/>
        </w:rPr>
      </w:r>
    </w:p>
    <w:p>
      <w:pPr>
        <w:pStyle w:val="Normal"/>
        <w:tabs>
          <w:tab w:val="clear" w:pos="720"/>
          <w:tab w:val="left" w:pos="-1440" w:leader="none"/>
          <w:tab w:val="left" w:pos="-720" w:leader="none"/>
          <w:tab w:val="left" w:pos="6480" w:leader="none"/>
          <w:tab w:val="center" w:pos="7560" w:leader="none"/>
          <w:tab w:val="right" w:pos="8730" w:leader="none"/>
        </w:tabs>
        <w:jc w:val="both"/>
        <w:rPr>
          <w:b/>
          <w:spacing w:val="-2"/>
          <w:kern w:val="2"/>
          <w:sz w:val="17"/>
        </w:rPr>
      </w:pPr>
      <w:r>
        <w:rPr>
          <w:b/>
          <w:spacing w:val="-2"/>
          <w:kern w:val="2"/>
          <w:sz w:val="17"/>
        </w:rPr>
        <w:tab/>
        <w:tab/>
        <w:t>Three Months Ended</w:t>
      </w:r>
    </w:p>
    <w:p>
      <w:pPr>
        <w:pStyle w:val="Normal"/>
        <w:tabs>
          <w:tab w:val="clear" w:pos="720"/>
          <w:tab w:val="left" w:pos="-1440" w:leader="none"/>
          <w:tab w:val="left" w:pos="-720" w:leader="none"/>
          <w:tab w:val="left" w:pos="6480" w:leader="none"/>
          <w:tab w:val="center" w:pos="7560" w:leader="none"/>
          <w:tab w:val="right" w:pos="8820" w:leader="none"/>
        </w:tabs>
        <w:jc w:val="both"/>
        <w:rPr>
          <w:b/>
          <w:spacing w:val="-2"/>
          <w:kern w:val="2"/>
          <w:sz w:val="17"/>
        </w:rPr>
      </w:pPr>
      <w:r>
        <w:rPr>
          <w:b/>
          <w:spacing w:val="-2"/>
          <w:kern w:val="2"/>
          <w:sz w:val="17"/>
        </w:rPr>
        <w:tab/>
      </w:r>
      <w:r>
        <w:rPr>
          <w:b/>
          <w:spacing w:val="-2"/>
          <w:kern w:val="2"/>
          <w:sz w:val="17"/>
          <w:u w:val="single"/>
        </w:rPr>
        <w:tab/>
        <w:t>March 31,</w:t>
        <w:tab/>
      </w:r>
    </w:p>
    <w:p>
      <w:pPr>
        <w:pStyle w:val="Normal"/>
        <w:tabs>
          <w:tab w:val="clear" w:pos="720"/>
          <w:tab w:val="left" w:pos="6480" w:leader="none"/>
          <w:tab w:val="center" w:pos="6912" w:leader="none"/>
          <w:tab w:val="right" w:pos="7470" w:leader="none"/>
          <w:tab w:val="left" w:pos="7830" w:leader="none"/>
          <w:tab w:val="center" w:pos="8280" w:leader="none"/>
          <w:tab w:val="right" w:pos="8820" w:leader="none"/>
        </w:tabs>
        <w:jc w:val="both"/>
        <w:rPr>
          <w:b/>
          <w:spacing w:val="-2"/>
          <w:kern w:val="2"/>
          <w:sz w:val="17"/>
        </w:rPr>
      </w:pPr>
      <w:r>
        <w:rPr>
          <w:b/>
          <w:spacing w:val="-2"/>
          <w:kern w:val="2"/>
          <w:sz w:val="17"/>
        </w:rPr>
        <w:tab/>
      </w:r>
      <w:r>
        <w:rPr>
          <w:b/>
          <w:spacing w:val="-2"/>
          <w:kern w:val="2"/>
          <w:sz w:val="17"/>
          <w:u w:val="single"/>
        </w:rPr>
        <w:tab/>
        <w:t>2001</w:t>
        <w:tab/>
      </w:r>
      <w:r>
        <w:rPr>
          <w:b/>
          <w:spacing w:val="-2"/>
          <w:kern w:val="2"/>
          <w:sz w:val="17"/>
        </w:rPr>
        <w:tab/>
      </w:r>
      <w:r>
        <w:rPr>
          <w:b/>
          <w:spacing w:val="-2"/>
          <w:kern w:val="2"/>
          <w:sz w:val="17"/>
          <w:u w:val="single"/>
        </w:rPr>
        <w:tab/>
        <w:t>2000</w:t>
        <w:tab/>
      </w:r>
    </w:p>
    <w:p>
      <w:pPr>
        <w:pStyle w:val="Normal"/>
        <w:tabs>
          <w:tab w:val="clear" w:pos="720"/>
          <w:tab w:val="left" w:pos="-1440" w:leader="none"/>
          <w:tab w:val="left" w:pos="-720" w:leader="none"/>
          <w:tab w:val="center" w:pos="8280" w:leader="none"/>
        </w:tabs>
        <w:jc w:val="both"/>
        <w:rPr>
          <w:spacing w:val="-2"/>
          <w:kern w:val="2"/>
          <w:sz w:val="17"/>
        </w:rPr>
      </w:pPr>
      <w:r>
        <w:rPr>
          <w:spacing w:val="-2"/>
          <w:kern w:val="2"/>
          <w:sz w:val="17"/>
        </w:rPr>
        <w:tab/>
      </w:r>
    </w:p>
    <w:p>
      <w:pPr>
        <w:pStyle w:val="Normal"/>
        <w:tabs>
          <w:tab w:val="clear" w:pos="720"/>
          <w:tab w:val="left" w:pos="180" w:leader="none"/>
          <w:tab w:val="left" w:pos="360" w:leader="none"/>
          <w:tab w:val="left" w:pos="6300" w:leader="dot"/>
          <w:tab w:val="left" w:pos="6480" w:leader="none"/>
          <w:tab w:val="decimal" w:pos="7200" w:leader="none"/>
          <w:tab w:val="left" w:pos="7920" w:leader="none"/>
          <w:tab w:val="decimal" w:pos="8640" w:leader="none"/>
        </w:tabs>
        <w:rPr>
          <w:kern w:val="2"/>
          <w:sz w:val="21"/>
        </w:rPr>
      </w:pPr>
      <w:r>
        <w:rPr>
          <w:kern w:val="2"/>
          <w:sz w:val="21"/>
        </w:rPr>
        <w:t>Revenues:</w:t>
      </w:r>
    </w:p>
    <w:p>
      <w:pPr>
        <w:pStyle w:val="Normal"/>
        <w:tabs>
          <w:tab w:val="clear" w:pos="720"/>
          <w:tab w:val="left" w:pos="180" w:leader="none"/>
          <w:tab w:val="left" w:pos="360" w:leader="none"/>
          <w:tab w:val="left" w:pos="6300" w:leader="dot"/>
          <w:tab w:val="left" w:pos="6480" w:leader="none"/>
          <w:tab w:val="decimal" w:pos="7290" w:leader="none"/>
          <w:tab w:val="right" w:pos="7920" w:leader="none"/>
          <w:tab w:val="decimal" w:pos="8640" w:leader="none"/>
        </w:tabs>
        <w:rPr>
          <w:kern w:val="2"/>
          <w:sz w:val="21"/>
        </w:rPr>
      </w:pPr>
      <w:r>
        <w:rPr>
          <w:kern w:val="2"/>
          <w:sz w:val="21"/>
        </w:rPr>
        <w:tab/>
        <w:t>North American Crude Oil – East of Rockies</w:t>
        <w:tab/>
        <w:tab/>
        <w:t>$</w:t>
        <w:tab/>
        <w:t>2,356.9</w:t>
        <w:tab/>
        <w:t>$</w:t>
        <w:tab/>
        <w:t>2,476.3</w:t>
      </w:r>
    </w:p>
    <w:p>
      <w:pPr>
        <w:pStyle w:val="Normal"/>
        <w:tabs>
          <w:tab w:val="clear" w:pos="720"/>
          <w:tab w:val="left" w:pos="180" w:leader="none"/>
          <w:tab w:val="left" w:pos="360" w:leader="none"/>
          <w:tab w:val="left" w:pos="6300" w:leader="dot"/>
          <w:tab w:val="left" w:pos="6480" w:leader="none"/>
          <w:tab w:val="decimal" w:pos="7290" w:leader="none"/>
          <w:tab w:val="left" w:pos="7830" w:leader="none"/>
          <w:tab w:val="decimal" w:pos="8640" w:leader="none"/>
        </w:tabs>
        <w:rPr>
          <w:kern w:val="2"/>
          <w:sz w:val="21"/>
        </w:rPr>
      </w:pPr>
      <w:r>
        <w:rPr>
          <w:kern w:val="2"/>
          <w:sz w:val="21"/>
        </w:rPr>
        <w:tab/>
        <w:t>Pipeline Operations</w:t>
        <w:tab/>
        <w:tab/>
        <w:tab/>
        <w:t>31.4</w:t>
        <w:tab/>
        <w:tab/>
        <w:t>33.0</w:t>
      </w:r>
    </w:p>
    <w:p>
      <w:pPr>
        <w:pStyle w:val="Normal"/>
        <w:tabs>
          <w:tab w:val="clear" w:pos="720"/>
          <w:tab w:val="left" w:pos="180" w:leader="none"/>
          <w:tab w:val="left" w:pos="360" w:leader="none"/>
          <w:tab w:val="left" w:pos="6300" w:leader="dot"/>
          <w:tab w:val="left" w:pos="6480" w:leader="none"/>
          <w:tab w:val="decimal" w:pos="7290" w:leader="none"/>
          <w:tab w:val="left" w:pos="7830" w:leader="none"/>
          <w:tab w:val="decimal" w:pos="8640" w:leader="none"/>
        </w:tabs>
        <w:rPr>
          <w:kern w:val="2"/>
          <w:sz w:val="21"/>
        </w:rPr>
      </w:pPr>
      <w:r>
        <w:rPr>
          <w:kern w:val="2"/>
          <w:sz w:val="21"/>
        </w:rPr>
        <w:tab/>
        <w:t>West Coast Operations</w:t>
        <w:tab/>
        <w:tab/>
        <w:tab/>
        <w:t>196.0</w:t>
        <w:tab/>
        <w:tab/>
        <w:t>195.6</w:t>
      </w:r>
    </w:p>
    <w:p>
      <w:pPr>
        <w:pStyle w:val="Normal"/>
        <w:tabs>
          <w:tab w:val="clear" w:pos="720"/>
          <w:tab w:val="left" w:pos="180" w:leader="none"/>
          <w:tab w:val="left" w:pos="360" w:leader="none"/>
          <w:tab w:val="left" w:pos="6300" w:leader="dot"/>
          <w:tab w:val="left" w:pos="6480" w:leader="none"/>
          <w:tab w:val="decimal" w:pos="7470" w:leader="none"/>
          <w:tab w:val="left" w:pos="7830" w:leader="none"/>
          <w:tab w:val="decimal" w:pos="8820" w:leader="none"/>
        </w:tabs>
        <w:rPr>
          <w:kern w:val="2"/>
          <w:sz w:val="21"/>
        </w:rPr>
      </w:pPr>
      <w:r>
        <w:rPr>
          <w:kern w:val="2"/>
          <w:sz w:val="21"/>
        </w:rPr>
        <w:tab/>
        <w:t>Corporate and Other</w:t>
        <w:tab/>
        <w:tab/>
        <w:tab/>
      </w:r>
      <w:r>
        <w:rPr>
          <w:rFonts w:eastAsia="Symbol" w:cs="Symbol" w:ascii="Symbol" w:hAnsi="Symbol"/>
          <w:kern w:val="2"/>
          <w:sz w:val="21"/>
        </w:rPr>
        <w:sym w:font="Symbol" w:char="f020"/>
        <w:sym w:font="Symbol" w:char="f020"/>
        <w:sym w:font="Symbol" w:char="f02d"/>
        <w:sym w:font="Symbol" w:char="f020"/>
        <w:sym w:font="Symbol" w:char="f020"/>
      </w:r>
      <w:r>
        <w:rPr>
          <w:kern w:val="2"/>
          <w:sz w:val="21"/>
        </w:rPr>
        <w:tab/>
        <w:tab/>
      </w:r>
      <w:r>
        <w:rPr>
          <w:rFonts w:eastAsia="Symbol" w:cs="Symbol" w:ascii="Symbol" w:hAnsi="Symbol"/>
          <w:kern w:val="2"/>
          <w:sz w:val="21"/>
        </w:rPr>
        <w:sym w:font="Symbol" w:char="f02d"/>
        <w:sym w:font="Symbol" w:char="f020"/>
        <w:sym w:font="Symbol" w:char="f020"/>
      </w:r>
    </w:p>
    <w:p>
      <w:pPr>
        <w:pStyle w:val="Normal"/>
        <w:tabs>
          <w:tab w:val="clear" w:pos="720"/>
          <w:tab w:val="left" w:pos="180" w:leader="none"/>
          <w:tab w:val="left" w:pos="360" w:leader="none"/>
          <w:tab w:val="left" w:pos="6300" w:leader="dot"/>
          <w:tab w:val="left" w:pos="6480" w:leader="none"/>
          <w:tab w:val="decimal" w:pos="7290" w:leader="none"/>
          <w:tab w:val="left" w:pos="7830" w:leader="none"/>
          <w:tab w:val="decimal" w:pos="8640" w:leader="none"/>
        </w:tabs>
        <w:rPr/>
      </w:pPr>
      <w:r>
        <w:rPr>
          <w:kern w:val="2"/>
          <w:sz w:val="21"/>
        </w:rPr>
        <w:tab/>
        <w:t>Intersegment eliminations</w:t>
        <w:tab/>
        <w:tab/>
      </w:r>
      <w:r>
        <w:rPr>
          <w:kern w:val="2"/>
          <w:sz w:val="21"/>
          <w:u w:val="single"/>
        </w:rPr>
        <w:tab/>
        <w:t>(39.9</w:t>
      </w:r>
      <w:r>
        <w:rPr>
          <w:kern w:val="2"/>
          <w:sz w:val="21"/>
        </w:rPr>
        <w:t>)</w:t>
        <w:tab/>
      </w:r>
      <w:r>
        <w:rPr>
          <w:kern w:val="2"/>
          <w:sz w:val="21"/>
          <w:u w:val="single"/>
        </w:rPr>
        <w:tab/>
        <w:t>(23.2</w:t>
      </w:r>
      <w:r>
        <w:rPr>
          <w:kern w:val="2"/>
          <w:sz w:val="21"/>
        </w:rPr>
        <w:t>)</w:t>
      </w:r>
    </w:p>
    <w:p>
      <w:pPr>
        <w:pStyle w:val="Normal"/>
        <w:tabs>
          <w:tab w:val="clear" w:pos="720"/>
          <w:tab w:val="left" w:pos="180" w:leader="none"/>
          <w:tab w:val="left" w:pos="360" w:leader="none"/>
          <w:tab w:val="left" w:pos="6300" w:leader="dot"/>
          <w:tab w:val="left" w:pos="6480" w:leader="none"/>
          <w:tab w:val="decimal" w:pos="7290" w:leader="none"/>
          <w:tab w:val="left" w:pos="7830" w:leader="none"/>
          <w:tab w:val="decimal" w:pos="8640" w:leader="none"/>
        </w:tabs>
        <w:rPr>
          <w:kern w:val="2"/>
          <w:sz w:val="21"/>
        </w:rPr>
      </w:pPr>
      <w:r>
        <w:rPr>
          <w:kern w:val="2"/>
          <w:sz w:val="21"/>
        </w:rPr>
        <w:tab/>
        <w:tab/>
        <w:t>Total</w:t>
        <w:tab/>
        <w:tab/>
      </w:r>
      <w:r>
        <w:rPr>
          <w:kern w:val="2"/>
          <w:sz w:val="21"/>
          <w:u w:val="double"/>
        </w:rPr>
        <w:t>$</w:t>
        <w:tab/>
        <w:t>2,544.4</w:t>
      </w:r>
      <w:r>
        <w:rPr>
          <w:kern w:val="2"/>
          <w:sz w:val="21"/>
        </w:rPr>
        <w:tab/>
      </w:r>
      <w:r>
        <w:rPr>
          <w:kern w:val="2"/>
          <w:sz w:val="21"/>
          <w:u w:val="double"/>
        </w:rPr>
        <w:t>$</w:t>
        <w:tab/>
        <w:t>2,681.7</w:t>
      </w:r>
    </w:p>
    <w:p>
      <w:pPr>
        <w:pStyle w:val="Normal"/>
        <w:tabs>
          <w:tab w:val="clear" w:pos="720"/>
          <w:tab w:val="left" w:pos="180" w:leader="none"/>
          <w:tab w:val="left" w:pos="360" w:leader="none"/>
          <w:tab w:val="left" w:pos="6300" w:leader="dot"/>
          <w:tab w:val="left" w:pos="6480" w:leader="none"/>
          <w:tab w:val="decimal" w:pos="7200" w:leader="none"/>
          <w:tab w:val="decimal" w:pos="7380" w:leader="none"/>
          <w:tab w:val="left" w:pos="7920" w:leader="none"/>
          <w:tab w:val="decimal" w:pos="8640" w:leader="none"/>
        </w:tabs>
        <w:rPr>
          <w:kern w:val="2"/>
          <w:sz w:val="21"/>
        </w:rPr>
      </w:pPr>
      <w:r>
        <w:rPr>
          <w:kern w:val="2"/>
          <w:sz w:val="21"/>
        </w:rPr>
      </w:r>
    </w:p>
    <w:p>
      <w:pPr>
        <w:pStyle w:val="Normal"/>
        <w:tabs>
          <w:tab w:val="clear" w:pos="720"/>
          <w:tab w:val="left" w:pos="180" w:leader="none"/>
          <w:tab w:val="left" w:pos="360" w:leader="none"/>
          <w:tab w:val="left" w:pos="6300" w:leader="dot"/>
          <w:tab w:val="left" w:pos="6480" w:leader="none"/>
          <w:tab w:val="decimal" w:pos="7200" w:leader="none"/>
          <w:tab w:val="decimal" w:pos="7380" w:leader="none"/>
          <w:tab w:val="left" w:pos="7920" w:leader="none"/>
          <w:tab w:val="decimal" w:pos="8640" w:leader="none"/>
        </w:tabs>
        <w:rPr>
          <w:kern w:val="2"/>
          <w:sz w:val="21"/>
          <w:u w:val="single"/>
        </w:rPr>
      </w:pPr>
      <w:r>
        <w:rPr>
          <w:kern w:val="2"/>
          <w:sz w:val="21"/>
        </w:rPr>
        <w:t>Gross margin:</w:t>
      </w:r>
    </w:p>
    <w:p>
      <w:pPr>
        <w:pStyle w:val="Normal"/>
        <w:tabs>
          <w:tab w:val="clear" w:pos="720"/>
          <w:tab w:val="left" w:pos="180" w:leader="none"/>
          <w:tab w:val="left" w:pos="360" w:leader="none"/>
          <w:tab w:val="left" w:pos="6300" w:leader="dot"/>
          <w:tab w:val="left" w:pos="6480" w:leader="none"/>
          <w:tab w:val="decimal" w:pos="7290" w:leader="none"/>
          <w:tab w:val="left" w:pos="7830" w:leader="none"/>
          <w:tab w:val="decimal" w:pos="8640" w:leader="none"/>
        </w:tabs>
        <w:rPr/>
      </w:pPr>
      <w:r>
        <w:rPr>
          <w:kern w:val="2"/>
          <w:sz w:val="21"/>
        </w:rPr>
        <w:tab/>
        <w:t xml:space="preserve">North American Crude Oil – East of Rockies  </w:t>
      </w:r>
      <w:r>
        <w:rPr>
          <w:kern w:val="2"/>
          <w:sz w:val="15"/>
        </w:rPr>
        <w:t>(1)</w:t>
      </w:r>
      <w:r>
        <w:rPr>
          <w:kern w:val="2"/>
          <w:sz w:val="21"/>
        </w:rPr>
        <w:tab/>
        <w:tab/>
        <w:t>$</w:t>
        <w:tab/>
        <w:t>23.9</w:t>
        <w:tab/>
        <w:t>$</w:t>
        <w:tab/>
        <w:t>19.1</w:t>
      </w:r>
    </w:p>
    <w:p>
      <w:pPr>
        <w:pStyle w:val="Normal"/>
        <w:tabs>
          <w:tab w:val="clear" w:pos="720"/>
          <w:tab w:val="left" w:pos="180" w:leader="none"/>
          <w:tab w:val="left" w:pos="360" w:leader="none"/>
          <w:tab w:val="left" w:pos="6300" w:leader="dot"/>
          <w:tab w:val="left" w:pos="6480" w:leader="none"/>
          <w:tab w:val="decimal" w:pos="7290" w:leader="none"/>
          <w:tab w:val="left" w:pos="7830" w:leader="none"/>
          <w:tab w:val="decimal" w:pos="8640" w:leader="none"/>
        </w:tabs>
        <w:rPr>
          <w:kern w:val="2"/>
          <w:sz w:val="21"/>
        </w:rPr>
      </w:pPr>
      <w:r>
        <w:rPr>
          <w:kern w:val="2"/>
          <w:sz w:val="21"/>
        </w:rPr>
        <w:tab/>
        <w:t>Pipeline Operations</w:t>
        <w:tab/>
        <w:tab/>
        <w:tab/>
        <w:t>31.0</w:t>
        <w:tab/>
        <w:tab/>
        <w:t>33.6</w:t>
      </w:r>
    </w:p>
    <w:p>
      <w:pPr>
        <w:pStyle w:val="Normal"/>
        <w:tabs>
          <w:tab w:val="clear" w:pos="720"/>
          <w:tab w:val="left" w:pos="180" w:leader="none"/>
          <w:tab w:val="left" w:pos="360" w:leader="none"/>
          <w:tab w:val="left" w:pos="6300" w:leader="dot"/>
          <w:tab w:val="left" w:pos="6480" w:leader="none"/>
          <w:tab w:val="decimal" w:pos="7290" w:leader="none"/>
          <w:tab w:val="left" w:pos="7830" w:leader="none"/>
          <w:tab w:val="decimal" w:pos="8640" w:leader="none"/>
        </w:tabs>
        <w:rPr>
          <w:kern w:val="2"/>
          <w:sz w:val="21"/>
        </w:rPr>
      </w:pPr>
      <w:r>
        <w:rPr>
          <w:kern w:val="2"/>
          <w:sz w:val="21"/>
        </w:rPr>
        <w:tab/>
        <w:t>West Coast Operations</w:t>
        <w:tab/>
        <w:tab/>
        <w:tab/>
        <w:t>5.2</w:t>
        <w:tab/>
        <w:tab/>
        <w:t>3.8</w:t>
      </w:r>
    </w:p>
    <w:p>
      <w:pPr>
        <w:pStyle w:val="Normal"/>
        <w:tabs>
          <w:tab w:val="clear" w:pos="720"/>
          <w:tab w:val="left" w:pos="180" w:leader="none"/>
          <w:tab w:val="left" w:pos="360" w:leader="none"/>
          <w:tab w:val="left" w:pos="6300" w:leader="dot"/>
          <w:tab w:val="left" w:pos="6480" w:leader="none"/>
          <w:tab w:val="right" w:pos="7470" w:leader="none"/>
          <w:tab w:val="left" w:pos="7830" w:leader="none"/>
          <w:tab w:val="right" w:pos="8820" w:leader="none"/>
        </w:tabs>
        <w:ind w:end="90"/>
        <w:rPr>
          <w:kern w:val="2"/>
          <w:sz w:val="21"/>
          <w:u w:val="single"/>
        </w:rPr>
      </w:pPr>
      <w:r>
        <w:rPr>
          <w:kern w:val="2"/>
          <w:sz w:val="21"/>
        </w:rPr>
        <w:tab/>
        <w:t>Corporate and Other</w:t>
        <w:tab/>
        <w:tab/>
      </w:r>
      <w:r>
        <w:rPr>
          <w:kern w:val="2"/>
          <w:sz w:val="21"/>
          <w:u w:val="single"/>
        </w:rPr>
        <w:tab/>
      </w:r>
      <w:r>
        <w:rPr>
          <w:rFonts w:eastAsia="Symbol" w:cs="Symbol" w:ascii="Symbol" w:hAnsi="Symbol"/>
          <w:kern w:val="2"/>
          <w:sz w:val="21"/>
          <w:u w:val="single"/>
        </w:rPr>
        <w:sym w:font="Symbol" w:char="f020"/>
        <w:sym w:font="Symbol" w:char="f020"/>
        <w:sym w:font="Symbol" w:char="f02d"/>
        <w:sym w:font="Symbol" w:char="f020"/>
        <w:sym w:font="Symbol" w:char="f020"/>
      </w:r>
      <w:r>
        <w:rPr>
          <w:kern w:val="2"/>
          <w:sz w:val="21"/>
        </w:rPr>
        <w:tab/>
      </w:r>
      <w:r>
        <w:rPr>
          <w:kern w:val="2"/>
          <w:sz w:val="21"/>
          <w:u w:val="single"/>
        </w:rPr>
        <w:tab/>
      </w:r>
      <w:r>
        <w:rPr>
          <w:rFonts w:eastAsia="Symbol" w:cs="Symbol" w:ascii="Symbol" w:hAnsi="Symbol"/>
          <w:kern w:val="2"/>
          <w:sz w:val="21"/>
          <w:u w:val="single"/>
        </w:rPr>
        <w:sym w:font="Symbol" w:char="f02d"/>
        <w:sym w:font="Symbol" w:char="f020"/>
        <w:sym w:font="Symbol" w:char="f020"/>
      </w:r>
    </w:p>
    <w:p>
      <w:pPr>
        <w:pStyle w:val="Normal"/>
        <w:tabs>
          <w:tab w:val="clear" w:pos="720"/>
          <w:tab w:val="left" w:pos="180" w:leader="none"/>
          <w:tab w:val="left" w:pos="360" w:leader="none"/>
          <w:tab w:val="left" w:pos="6300" w:leader="dot"/>
          <w:tab w:val="left" w:pos="6480" w:leader="none"/>
          <w:tab w:val="decimal" w:pos="7290" w:leader="none"/>
          <w:tab w:val="left" w:pos="7830" w:leader="none"/>
          <w:tab w:val="decimal" w:pos="8640" w:leader="none"/>
        </w:tabs>
        <w:rPr>
          <w:kern w:val="2"/>
          <w:sz w:val="21"/>
        </w:rPr>
      </w:pPr>
      <w:r>
        <w:rPr>
          <w:kern w:val="2"/>
          <w:sz w:val="21"/>
        </w:rPr>
        <w:tab/>
        <w:tab/>
        <w:t>Total</w:t>
        <w:tab/>
        <w:tab/>
      </w:r>
      <w:r>
        <w:rPr>
          <w:kern w:val="2"/>
          <w:sz w:val="21"/>
          <w:u w:val="double"/>
        </w:rPr>
        <w:t>$</w:t>
        <w:tab/>
        <w:t>60.1</w:t>
      </w:r>
      <w:r>
        <w:rPr>
          <w:kern w:val="2"/>
          <w:sz w:val="21"/>
        </w:rPr>
        <w:tab/>
      </w:r>
      <w:r>
        <w:rPr>
          <w:kern w:val="2"/>
          <w:sz w:val="21"/>
          <w:u w:val="double"/>
        </w:rPr>
        <w:t>$</w:t>
        <w:tab/>
        <w:t>56.5</w:t>
      </w:r>
    </w:p>
    <w:p>
      <w:pPr>
        <w:pStyle w:val="Normal"/>
        <w:tabs>
          <w:tab w:val="clear" w:pos="720"/>
          <w:tab w:val="left" w:pos="180" w:leader="none"/>
          <w:tab w:val="left" w:pos="360" w:leader="none"/>
          <w:tab w:val="left" w:pos="6300" w:leader="dot"/>
          <w:tab w:val="left" w:pos="6480" w:leader="none"/>
          <w:tab w:val="decimal" w:pos="7200" w:leader="none"/>
          <w:tab w:val="decimal" w:pos="7380" w:leader="none"/>
          <w:tab w:val="left" w:pos="7920" w:leader="none"/>
          <w:tab w:val="decimal" w:pos="8640" w:leader="none"/>
        </w:tabs>
        <w:rPr>
          <w:kern w:val="2"/>
          <w:sz w:val="21"/>
        </w:rPr>
      </w:pPr>
      <w:r>
        <w:rPr>
          <w:kern w:val="2"/>
          <w:sz w:val="21"/>
        </w:rPr>
      </w:r>
    </w:p>
    <w:p>
      <w:pPr>
        <w:pStyle w:val="Normal"/>
        <w:tabs>
          <w:tab w:val="clear" w:pos="720"/>
          <w:tab w:val="left" w:pos="180" w:leader="none"/>
          <w:tab w:val="left" w:pos="360" w:leader="none"/>
          <w:tab w:val="left" w:pos="6300" w:leader="dot"/>
          <w:tab w:val="left" w:pos="6480" w:leader="none"/>
          <w:tab w:val="decimal" w:pos="7200" w:leader="none"/>
          <w:tab w:val="decimal" w:pos="7380" w:leader="none"/>
          <w:tab w:val="left" w:pos="7920" w:leader="none"/>
          <w:tab w:val="decimal" w:pos="8640" w:leader="none"/>
        </w:tabs>
        <w:rPr>
          <w:kern w:val="2"/>
          <w:sz w:val="21"/>
        </w:rPr>
      </w:pPr>
      <w:r>
        <w:rPr>
          <w:kern w:val="2"/>
          <w:sz w:val="21"/>
        </w:rPr>
        <w:t>Operating income (loss):</w:t>
      </w:r>
    </w:p>
    <w:p>
      <w:pPr>
        <w:pStyle w:val="Normal"/>
        <w:tabs>
          <w:tab w:val="clear" w:pos="720"/>
          <w:tab w:val="left" w:pos="180" w:leader="none"/>
          <w:tab w:val="left" w:pos="360" w:leader="none"/>
          <w:tab w:val="left" w:pos="6300" w:leader="dot"/>
          <w:tab w:val="left" w:pos="6480" w:leader="none"/>
          <w:tab w:val="decimal" w:pos="7290" w:leader="none"/>
          <w:tab w:val="left" w:pos="7830" w:leader="none"/>
          <w:tab w:val="decimal" w:pos="8640" w:leader="none"/>
        </w:tabs>
        <w:rPr/>
      </w:pPr>
      <w:r>
        <w:rPr>
          <w:kern w:val="2"/>
          <w:sz w:val="21"/>
        </w:rPr>
        <w:tab/>
        <w:t xml:space="preserve">North American Crude Oil – East of Rockies  </w:t>
      </w:r>
      <w:r>
        <w:rPr>
          <w:kern w:val="2"/>
          <w:sz w:val="15"/>
        </w:rPr>
        <w:t>(1)</w:t>
      </w:r>
      <w:r>
        <w:rPr>
          <w:kern w:val="2"/>
          <w:sz w:val="21"/>
        </w:rPr>
        <w:tab/>
        <w:tab/>
        <w:t>$</w:t>
        <w:tab/>
        <w:t>4.1</w:t>
        <w:tab/>
        <w:t>$</w:t>
        <w:tab/>
        <w:t>(0.3)</w:t>
      </w:r>
    </w:p>
    <w:p>
      <w:pPr>
        <w:pStyle w:val="Normal"/>
        <w:tabs>
          <w:tab w:val="clear" w:pos="720"/>
          <w:tab w:val="left" w:pos="180" w:leader="none"/>
          <w:tab w:val="left" w:pos="360" w:leader="none"/>
          <w:tab w:val="left" w:pos="6300" w:leader="dot"/>
          <w:tab w:val="left" w:pos="6480" w:leader="none"/>
          <w:tab w:val="decimal" w:pos="7290" w:leader="none"/>
          <w:tab w:val="left" w:pos="7830" w:leader="none"/>
          <w:tab w:val="decimal" w:pos="8640" w:leader="none"/>
        </w:tabs>
        <w:rPr>
          <w:kern w:val="2"/>
          <w:sz w:val="21"/>
        </w:rPr>
      </w:pPr>
      <w:r>
        <w:rPr>
          <w:kern w:val="2"/>
          <w:sz w:val="21"/>
        </w:rPr>
        <w:tab/>
        <w:t>Pipeline Operations</w:t>
        <w:tab/>
        <w:tab/>
        <w:tab/>
        <w:t>14.7</w:t>
        <w:tab/>
        <w:tab/>
        <w:t>17.4</w:t>
      </w:r>
    </w:p>
    <w:p>
      <w:pPr>
        <w:pStyle w:val="Normal"/>
        <w:tabs>
          <w:tab w:val="clear" w:pos="720"/>
          <w:tab w:val="left" w:pos="180" w:leader="none"/>
          <w:tab w:val="left" w:pos="360" w:leader="none"/>
          <w:tab w:val="left" w:pos="6300" w:leader="dot"/>
          <w:tab w:val="left" w:pos="6480" w:leader="none"/>
          <w:tab w:val="decimal" w:pos="7380" w:leader="none"/>
          <w:tab w:val="left" w:pos="7830" w:leader="none"/>
          <w:tab w:val="decimal" w:pos="8640" w:leader="none"/>
        </w:tabs>
        <w:rPr/>
      </w:pPr>
      <w:r>
        <w:rPr>
          <w:kern w:val="2"/>
          <w:sz w:val="21"/>
        </w:rPr>
        <w:tab/>
        <w:t>West Coast Operations</w:t>
        <w:tab/>
        <w:tab/>
        <w:tab/>
      </w:r>
      <w:r>
        <w:rPr>
          <w:rFonts w:eastAsia="Symbol" w:cs="Symbol" w:ascii="Symbol" w:hAnsi="Symbol"/>
          <w:kern w:val="2"/>
          <w:sz w:val="21"/>
        </w:rPr>
        <w:sym w:font="Symbol" w:char="f020"/>
        <w:sym w:font="Symbol" w:char="f020"/>
        <w:sym w:font="Symbol" w:char="f02d"/>
      </w:r>
      <w:r>
        <w:rPr>
          <w:kern w:val="2"/>
          <w:sz w:val="21"/>
        </w:rPr>
        <w:tab/>
        <w:tab/>
        <w:t>(1.3)</w:t>
      </w:r>
    </w:p>
    <w:p>
      <w:pPr>
        <w:pStyle w:val="Normal"/>
        <w:tabs>
          <w:tab w:val="clear" w:pos="720"/>
          <w:tab w:val="left" w:pos="180" w:leader="none"/>
          <w:tab w:val="left" w:pos="360" w:leader="none"/>
          <w:tab w:val="left" w:pos="6300" w:leader="dot"/>
          <w:tab w:val="left" w:pos="6480" w:leader="none"/>
          <w:tab w:val="decimal" w:pos="7290" w:leader="none"/>
          <w:tab w:val="left" w:pos="7830" w:leader="none"/>
          <w:tab w:val="decimal" w:pos="8640" w:leader="none"/>
        </w:tabs>
        <w:rPr/>
      </w:pPr>
      <w:r>
        <w:rPr>
          <w:kern w:val="2"/>
          <w:sz w:val="21"/>
        </w:rPr>
        <w:tab/>
        <w:t>Corporate and Other</w:t>
        <w:tab/>
        <w:tab/>
      </w:r>
      <w:r>
        <w:rPr>
          <w:kern w:val="2"/>
          <w:sz w:val="21"/>
          <w:u w:val="single"/>
        </w:rPr>
        <w:tab/>
        <w:t>(6.3</w:t>
      </w:r>
      <w:r>
        <w:rPr>
          <w:kern w:val="2"/>
          <w:sz w:val="21"/>
        </w:rPr>
        <w:t>)</w:t>
        <w:tab/>
      </w:r>
      <w:r>
        <w:rPr>
          <w:kern w:val="2"/>
          <w:sz w:val="21"/>
          <w:u w:val="single"/>
        </w:rPr>
        <w:tab/>
        <w:t>(5.2</w:t>
      </w:r>
      <w:r>
        <w:rPr>
          <w:kern w:val="2"/>
          <w:sz w:val="21"/>
        </w:rPr>
        <w:t>)</w:t>
      </w:r>
    </w:p>
    <w:p>
      <w:pPr>
        <w:pStyle w:val="Normal"/>
        <w:tabs>
          <w:tab w:val="clear" w:pos="720"/>
          <w:tab w:val="left" w:pos="180" w:leader="none"/>
          <w:tab w:val="left" w:pos="360" w:leader="none"/>
          <w:tab w:val="left" w:pos="6300" w:leader="dot"/>
          <w:tab w:val="left" w:pos="6480" w:leader="none"/>
          <w:tab w:val="decimal" w:pos="7290" w:leader="none"/>
          <w:tab w:val="left" w:pos="7830" w:leader="none"/>
          <w:tab w:val="decimal" w:pos="8640" w:leader="none"/>
        </w:tabs>
        <w:rPr>
          <w:kern w:val="2"/>
          <w:sz w:val="21"/>
        </w:rPr>
      </w:pPr>
      <w:r>
        <w:rPr>
          <w:kern w:val="2"/>
          <w:sz w:val="21"/>
        </w:rPr>
        <w:tab/>
        <w:tab/>
        <w:t>Total</w:t>
        <w:tab/>
        <w:tab/>
      </w:r>
      <w:r>
        <w:rPr>
          <w:kern w:val="2"/>
          <w:sz w:val="21"/>
          <w:u w:val="double"/>
        </w:rPr>
        <w:t>$</w:t>
        <w:tab/>
        <w:t>12.5</w:t>
      </w:r>
      <w:r>
        <w:rPr>
          <w:kern w:val="2"/>
          <w:sz w:val="21"/>
        </w:rPr>
        <w:tab/>
      </w:r>
      <w:r>
        <w:rPr>
          <w:kern w:val="2"/>
          <w:sz w:val="21"/>
          <w:u w:val="double"/>
        </w:rPr>
        <w:t>$</w:t>
        <w:tab/>
        <w:t>10.6</w:t>
      </w:r>
    </w:p>
    <w:p>
      <w:pPr>
        <w:pStyle w:val="Normal"/>
        <w:tabs>
          <w:tab w:val="left" w:pos="360" w:leader="none"/>
          <w:tab w:val="left" w:pos="720" w:leader="none"/>
        </w:tabs>
        <w:jc w:val="both"/>
        <w:rPr>
          <w:kern w:val="2"/>
          <w:sz w:val="21"/>
        </w:rPr>
      </w:pPr>
      <w:r>
        <w:rPr>
          <w:kern w:val="2"/>
          <w:sz w:val="21"/>
        </w:rPr>
      </w:r>
    </w:p>
    <w:p>
      <w:pPr>
        <w:pStyle w:val="BlockText"/>
        <w:numPr>
          <w:ilvl w:val="0"/>
          <w:numId w:val="5"/>
        </w:numPr>
        <w:rPr/>
      </w:pPr>
      <w:r>
        <w:rPr/>
        <w:t xml:space="preserve">Includes intersegment transportation costs from the Pipeline Operations segment for the transport of crude oil at published pipeline tariffs and purchases of crude oil inventory from the Pipeline Operations segment.  Intersegment transportation costs from the Pipeline Operations were $23.0 million and $23.2 million for the three months ended March 31, 2001 and 2000 respectively. </w:t>
      </w:r>
    </w:p>
    <w:p>
      <w:pPr>
        <w:pStyle w:val="Normal"/>
        <w:jc w:val="both"/>
        <w:rPr>
          <w:b/>
          <w:i/>
          <w:i/>
          <w:kern w:val="2"/>
          <w:sz w:val="21"/>
        </w:rPr>
      </w:pPr>
      <w:r>
        <w:rPr>
          <w:b/>
          <w:i/>
          <w:kern w:val="2"/>
          <w:sz w:val="21"/>
        </w:rPr>
      </w:r>
    </w:p>
    <w:p>
      <w:pPr>
        <w:pStyle w:val="Normal"/>
        <w:jc w:val="both"/>
        <w:rPr>
          <w:b/>
          <w:i/>
          <w:i/>
          <w:kern w:val="2"/>
          <w:sz w:val="21"/>
        </w:rPr>
      </w:pPr>
      <w:r>
        <w:rPr>
          <w:b/>
          <w:i/>
          <w:kern w:val="2"/>
          <w:sz w:val="21"/>
        </w:rPr>
      </w:r>
    </w:p>
    <w:p>
      <w:pPr>
        <w:pStyle w:val="Normal"/>
        <w:jc w:val="both"/>
        <w:rPr>
          <w:kern w:val="2"/>
          <w:sz w:val="21"/>
        </w:rPr>
      </w:pPr>
      <w:r>
        <w:rPr>
          <w:b/>
          <w:i/>
          <w:kern w:val="2"/>
          <w:sz w:val="21"/>
        </w:rPr>
        <w:t>Three Months Ended March 31, 2001 Compared with Three Months Ended March 31, 2000.</w:t>
      </w:r>
    </w:p>
    <w:p>
      <w:pPr>
        <w:pStyle w:val="Normal"/>
        <w:jc w:val="both"/>
        <w:rPr>
          <w:kern w:val="2"/>
          <w:sz w:val="21"/>
        </w:rPr>
      </w:pPr>
      <w:r>
        <w:rPr>
          <w:kern w:val="2"/>
          <w:sz w:val="21"/>
        </w:rPr>
      </w:r>
    </w:p>
    <w:p>
      <w:pPr>
        <w:pStyle w:val="Normal"/>
        <w:tabs>
          <w:tab w:val="clear" w:pos="720"/>
          <w:tab w:val="left" w:pos="360" w:leader="none"/>
        </w:tabs>
        <w:jc w:val="both"/>
        <w:rPr/>
      </w:pPr>
      <w:r>
        <w:rPr>
          <w:i/>
          <w:kern w:val="2"/>
          <w:sz w:val="21"/>
        </w:rPr>
        <w:tab/>
        <w:t>North American Crude Oil</w:t>
      </w:r>
      <w:r>
        <w:rPr/>
        <w:t xml:space="preserve"> – </w:t>
      </w:r>
      <w:r>
        <w:rPr>
          <w:i/>
          <w:kern w:val="2"/>
          <w:sz w:val="21"/>
        </w:rPr>
        <w:t xml:space="preserve">East of Rockies:  </w:t>
      </w:r>
      <w:r>
        <w:rPr>
          <w:kern w:val="2"/>
          <w:sz w:val="21"/>
        </w:rPr>
        <w:t>The North American Crude Oil – East of Rockies segment had operating income of $4.1 million for the first quarter of 2001, compared to an operating loss of $0.3 million for the same period in 2000.  Gross margin increased $4.8 million to $23.9 million in the first quarter of 2001 due primarily to improved market conditions and the continued elimination of certain low margin lease volumes. Crude oil lease volumes averaged 377,700 barrels per day for the three months ended March 31, 2001 compared to an average of 412,900 barrels per day for the three months ended March 31, 2000.  Operating expenses of $19.8 million for the first quarter 2001 were $0.4 million higher than in the first quarter of 2000 due primarily to higher employee related costs offset by lower depreciation.</w:t>
      </w:r>
    </w:p>
    <w:p>
      <w:pPr>
        <w:pStyle w:val="Normal"/>
        <w:tabs>
          <w:tab w:val="clear" w:pos="720"/>
          <w:tab w:val="left" w:pos="360" w:leader="none"/>
        </w:tabs>
        <w:jc w:val="both"/>
        <w:rPr>
          <w:kern w:val="2"/>
          <w:sz w:val="21"/>
        </w:rPr>
      </w:pPr>
      <w:r>
        <w:rPr>
          <w:kern w:val="2"/>
          <w:sz w:val="21"/>
        </w:rPr>
      </w:r>
    </w:p>
    <w:p>
      <w:pPr>
        <w:pStyle w:val="Normal"/>
        <w:tabs>
          <w:tab w:val="clear" w:pos="720"/>
          <w:tab w:val="left" w:pos="360" w:leader="none"/>
        </w:tabs>
        <w:jc w:val="both"/>
        <w:rPr/>
      </w:pPr>
      <w:r>
        <w:rPr>
          <w:i/>
          <w:kern w:val="2"/>
          <w:sz w:val="21"/>
        </w:rPr>
        <w:tab/>
        <w:t xml:space="preserve">Pipeline Operations: </w:t>
      </w:r>
      <w:r>
        <w:rPr>
          <w:kern w:val="2"/>
          <w:sz w:val="21"/>
        </w:rPr>
        <w:t xml:space="preserve"> Pipeline Operations had operating income of $14.7 million for the first quarter 2001 compared to operating income of $17.4 million for the same period in 2000.  Revenues for the first quarter of 2001 decreased $1.6 million to $31.4 million in the first quarter of 2001 due primarily to a decline of volumes in the West Texas and New Mexico pipeline systems.  The decline in volumes is primarily associated with the continued elimination of low margin lease volumes in the North American Crude Oil-East of Rockies business segment as well as the storage of lease volumes beginning in March 2001 due to the market moving into contango.  Approximately $23.0 million and $23.2 million of revenues for the three months ended March 31, 2001 and 2000, respectively, were generated primarily from tariffs charged to the North American Crude Oil – East of Rockies segment.   Pipeline volumes averaged 549,900 barrels per day for the three months ended March 31, 2001 compared to 596,400 barrels per day for the three months ended March 31, 2000.  Operating expenses of $16.3 million for the first quarter of 2001 were relatively flat compared to the first quarter of 2000.</w:t>
      </w:r>
    </w:p>
    <w:p>
      <w:pPr>
        <w:pStyle w:val="Normal"/>
        <w:jc w:val="both"/>
        <w:rPr>
          <w:kern w:val="2"/>
          <w:sz w:val="21"/>
        </w:rPr>
      </w:pPr>
      <w:r>
        <w:rPr>
          <w:kern w:val="2"/>
          <w:sz w:val="21"/>
        </w:rPr>
      </w:r>
    </w:p>
    <w:p>
      <w:pPr>
        <w:pStyle w:val="Normal"/>
        <w:tabs>
          <w:tab w:val="clear" w:pos="720"/>
          <w:tab w:val="left" w:pos="360" w:leader="none"/>
        </w:tabs>
        <w:jc w:val="both"/>
        <w:rPr/>
      </w:pPr>
      <w:r>
        <w:rPr>
          <w:i/>
          <w:kern w:val="2"/>
          <w:sz w:val="21"/>
        </w:rPr>
        <w:tab/>
        <w:t xml:space="preserve">West Coast Operations:  </w:t>
      </w:r>
      <w:r>
        <w:rPr>
          <w:kern w:val="2"/>
          <w:sz w:val="21"/>
        </w:rPr>
        <w:t xml:space="preserve">West Coast Operations improved to break even for the first quarter of 2001, compared to an operating loss of $1.3 million for the same period in 2000 primarily due to increased availability of blending stock for the crude oil operations.  Operating expenses of $5.2 million for the first quarter of 2001 were relatively flat compared to the first quarter of 2000. </w:t>
      </w:r>
    </w:p>
    <w:p>
      <w:pPr>
        <w:pStyle w:val="Normal"/>
        <w:tabs>
          <w:tab w:val="clear" w:pos="720"/>
          <w:tab w:val="left" w:pos="360" w:leader="none"/>
        </w:tabs>
        <w:jc w:val="both"/>
        <w:rPr>
          <w:i/>
          <w:i/>
          <w:kern w:val="2"/>
          <w:sz w:val="21"/>
        </w:rPr>
      </w:pPr>
      <w:r>
        <w:rPr>
          <w:i/>
          <w:kern w:val="2"/>
          <w:sz w:val="21"/>
        </w:rPr>
      </w:r>
    </w:p>
    <w:p>
      <w:pPr>
        <w:pStyle w:val="Normal"/>
        <w:tabs>
          <w:tab w:val="clear" w:pos="720"/>
          <w:tab w:val="left" w:pos="360" w:leader="none"/>
        </w:tabs>
        <w:jc w:val="both"/>
        <w:rPr/>
      </w:pPr>
      <w:r>
        <w:rPr>
          <w:i/>
          <w:kern w:val="2"/>
          <w:sz w:val="21"/>
        </w:rPr>
        <w:tab/>
        <w:t>Corporate and Other:</w:t>
      </w:r>
      <w:r>
        <w:rPr>
          <w:kern w:val="2"/>
          <w:sz w:val="21"/>
        </w:rPr>
        <w:t xml:space="preserve">  Corporate and Other costs were $6.3 million for the first quarter of 2001 compared to $5.2 million in the first quarter of 2000.  The increase is due primarily to higher employee related costs, insurance costs and depreciation related to recently installed information systems hardware and software in 2001.  Interest and related charges in the first quarter 2001 were $6.9 million compared to $7.5 million for the same period in 2000.  The decrease is due primarily to lower average short-term debt required to meet working capital needs.  Other income (expense), net, consisting primarily of discount fees on sale of receivables, gains (losses) on transactions denominated in foreign currency and gains (losses) on sales of fixed assets, increased $0.5 million in the first quarter 2001 compared to the same period in 2000 primarily due to lower discount fees on sale of receivables.</w:t>
      </w:r>
    </w:p>
    <w:p>
      <w:pPr>
        <w:pStyle w:val="Normal"/>
        <w:tabs>
          <w:tab w:val="left" w:pos="-1440" w:leader="none"/>
          <w:tab w:val="left" w:pos="-720" w:leader="none"/>
          <w:tab w:val="left" w:pos="0" w:leader="none"/>
          <w:tab w:val="left" w:pos="355" w:leader="none"/>
          <w:tab w:val="left" w:pos="720" w:leader="none"/>
        </w:tabs>
        <w:jc w:val="both"/>
        <w:rPr>
          <w:spacing w:val="-2"/>
          <w:kern w:val="2"/>
          <w:sz w:val="21"/>
        </w:rPr>
      </w:pPr>
      <w:r>
        <w:rPr>
          <w:spacing w:val="-2"/>
          <w:kern w:val="2"/>
          <w:sz w:val="21"/>
        </w:rPr>
      </w:r>
    </w:p>
    <w:p>
      <w:pPr>
        <w:pStyle w:val="Normal"/>
        <w:tabs>
          <w:tab w:val="left" w:pos="-1440" w:leader="none"/>
          <w:tab w:val="left" w:pos="-720" w:leader="none"/>
          <w:tab w:val="left" w:pos="0" w:leader="none"/>
          <w:tab w:val="left" w:pos="355" w:leader="none"/>
          <w:tab w:val="left" w:pos="720" w:leader="none"/>
        </w:tabs>
        <w:jc w:val="both"/>
        <w:rPr>
          <w:spacing w:val="-2"/>
          <w:kern w:val="2"/>
          <w:sz w:val="21"/>
        </w:rPr>
      </w:pPr>
      <w:r>
        <w:rPr>
          <w:spacing w:val="-2"/>
          <w:kern w:val="2"/>
          <w:sz w:val="21"/>
        </w:rPr>
      </w:r>
    </w:p>
    <w:p>
      <w:pPr>
        <w:pStyle w:val="Normal"/>
        <w:jc w:val="both"/>
        <w:rPr>
          <w:kern w:val="2"/>
          <w:sz w:val="21"/>
        </w:rPr>
      </w:pPr>
      <w:r>
        <w:rPr>
          <w:b/>
          <w:kern w:val="2"/>
          <w:sz w:val="21"/>
        </w:rPr>
        <w:t>Liquidity and Capital Resources</w:t>
      </w:r>
    </w:p>
    <w:p>
      <w:pPr>
        <w:pStyle w:val="Normal"/>
        <w:spacing w:lineRule="exact" w:line="220"/>
        <w:jc w:val="both"/>
        <w:rPr>
          <w:kern w:val="2"/>
          <w:sz w:val="21"/>
        </w:rPr>
      </w:pPr>
      <w:r>
        <w:rPr>
          <w:kern w:val="2"/>
          <w:sz w:val="21"/>
        </w:rPr>
      </w:r>
    </w:p>
    <w:p>
      <w:pPr>
        <w:pStyle w:val="Normal"/>
        <w:jc w:val="both"/>
        <w:rPr>
          <w:kern w:val="2"/>
          <w:sz w:val="21"/>
        </w:rPr>
      </w:pPr>
      <w:r>
        <w:rPr>
          <w:i/>
          <w:kern w:val="2"/>
          <w:sz w:val="21"/>
        </w:rPr>
        <w:t>General</w:t>
      </w:r>
    </w:p>
    <w:p>
      <w:pPr>
        <w:pStyle w:val="Normal"/>
        <w:spacing w:lineRule="exact" w:line="200"/>
        <w:jc w:val="both"/>
        <w:rPr>
          <w:kern w:val="2"/>
          <w:sz w:val="21"/>
        </w:rPr>
      </w:pPr>
      <w:r>
        <w:rPr>
          <w:kern w:val="2"/>
          <w:sz w:val="21"/>
        </w:rPr>
      </w:r>
    </w:p>
    <w:p>
      <w:pPr>
        <w:pStyle w:val="BodyTextIndent"/>
        <w:tabs>
          <w:tab w:val="clear" w:pos="346"/>
          <w:tab w:val="clear" w:pos="1710"/>
          <w:tab w:val="clear" w:pos="8294"/>
          <w:tab w:val="left" w:pos="355" w:leader="none"/>
        </w:tabs>
        <w:suppressAutoHyphens w:val="false"/>
        <w:spacing w:lineRule="auto" w:line="240"/>
        <w:ind w:hanging="0" w:start="0" w:end="0"/>
        <w:rPr>
          <w:spacing w:val="0"/>
        </w:rPr>
      </w:pPr>
      <w:r>
        <w:rPr>
          <w:spacing w:val="0"/>
        </w:rPr>
        <w:tab/>
        <w:t>Management anticipates that short-term liquidity as well as sustaining capital expenditures for the foreseeable future will be funded primarily by cash generated from operations, commodity repurchase agreements and sales of receivables.  Additionally, through December 31, 2001, EOTT may access the $100.0 million working capital line under the $1.0 billion Enron credit facility.</w:t>
      </w:r>
    </w:p>
    <w:p>
      <w:pPr>
        <w:pStyle w:val="Normal"/>
        <w:jc w:val="both"/>
        <w:rPr>
          <w:i/>
          <w:i/>
          <w:spacing w:val="0"/>
          <w:kern w:val="2"/>
          <w:sz w:val="21"/>
        </w:rPr>
      </w:pPr>
      <w:r>
        <w:rPr>
          <w:i/>
          <w:spacing w:val="0"/>
          <w:kern w:val="2"/>
          <w:sz w:val="21"/>
        </w:rPr>
      </w:r>
    </w:p>
    <w:p>
      <w:pPr>
        <w:pStyle w:val="Normal"/>
        <w:jc w:val="both"/>
        <w:rPr>
          <w:i/>
          <w:i/>
          <w:kern w:val="2"/>
          <w:sz w:val="21"/>
        </w:rPr>
      </w:pPr>
      <w:r>
        <w:rPr>
          <w:i/>
          <w:kern w:val="2"/>
          <w:sz w:val="21"/>
        </w:rPr>
      </w:r>
    </w:p>
    <w:p>
      <w:pPr>
        <w:pStyle w:val="Normal"/>
        <w:jc w:val="both"/>
        <w:rPr>
          <w:i/>
          <w:i/>
          <w:kern w:val="2"/>
          <w:sz w:val="21"/>
        </w:rPr>
      </w:pPr>
      <w:r>
        <w:rPr>
          <w:i/>
          <w:kern w:val="2"/>
          <w:sz w:val="21"/>
        </w:rPr>
      </w:r>
    </w:p>
    <w:p>
      <w:pPr>
        <w:pStyle w:val="Normal"/>
        <w:jc w:val="both"/>
        <w:rPr>
          <w:i/>
          <w:i/>
          <w:kern w:val="2"/>
          <w:sz w:val="21"/>
        </w:rPr>
      </w:pPr>
      <w:r>
        <w:rPr>
          <w:i/>
          <w:kern w:val="2"/>
          <w:sz w:val="21"/>
        </w:rPr>
      </w:r>
    </w:p>
    <w:p>
      <w:pPr>
        <w:pStyle w:val="Normal"/>
        <w:jc w:val="both"/>
        <w:rPr>
          <w:kern w:val="2"/>
          <w:sz w:val="21"/>
        </w:rPr>
      </w:pPr>
      <w:r>
        <w:rPr>
          <w:i/>
          <w:kern w:val="2"/>
          <w:sz w:val="21"/>
        </w:rPr>
        <w:t>Cash Flows From Operating Activities</w:t>
      </w:r>
    </w:p>
    <w:p>
      <w:pPr>
        <w:pStyle w:val="Normal"/>
        <w:spacing w:lineRule="exact" w:line="200"/>
        <w:jc w:val="both"/>
        <w:rPr>
          <w:kern w:val="2"/>
          <w:sz w:val="21"/>
        </w:rPr>
      </w:pPr>
      <w:r>
        <w:rPr>
          <w:kern w:val="2"/>
          <w:sz w:val="21"/>
        </w:rPr>
      </w:r>
    </w:p>
    <w:p>
      <w:pPr>
        <w:pStyle w:val="BodyTextIndent"/>
        <w:tabs>
          <w:tab w:val="clear" w:pos="346"/>
          <w:tab w:val="clear" w:pos="1710"/>
          <w:tab w:val="clear" w:pos="8294"/>
          <w:tab w:val="left" w:pos="355" w:leader="none"/>
        </w:tabs>
        <w:suppressAutoHyphens w:val="false"/>
        <w:spacing w:lineRule="auto" w:line="240"/>
        <w:ind w:hanging="0" w:start="0" w:end="0"/>
        <w:rPr>
          <w:spacing w:val="0"/>
        </w:rPr>
      </w:pPr>
      <w:r>
        <w:rPr>
          <w:spacing w:val="0"/>
        </w:rPr>
        <w:tab/>
        <w:t>Net cash used in operating activities totaled $66.7 million for the first three months of 2001 compared to net cash provided by operating activities of $0.3 million for the same period in 2000 primarily due to the reduction in sales of receivables and crude oil being stored in inventory as a result of market conditions shifting from backwardation to contango in March 2001.</w:t>
      </w:r>
    </w:p>
    <w:p>
      <w:pPr>
        <w:pStyle w:val="Normal"/>
        <w:tabs>
          <w:tab w:val="clear" w:pos="720"/>
          <w:tab w:val="left" w:pos="360" w:leader="none"/>
        </w:tabs>
        <w:spacing w:lineRule="exact" w:line="220"/>
        <w:jc w:val="both"/>
        <w:rPr>
          <w:spacing w:val="0"/>
          <w:kern w:val="2"/>
          <w:sz w:val="21"/>
        </w:rPr>
      </w:pPr>
      <w:r>
        <w:rPr>
          <w:spacing w:val="0"/>
          <w:kern w:val="2"/>
          <w:sz w:val="21"/>
        </w:rPr>
      </w:r>
    </w:p>
    <w:p>
      <w:pPr>
        <w:pStyle w:val="Normal"/>
        <w:tabs>
          <w:tab w:val="clear" w:pos="720"/>
          <w:tab w:val="left" w:pos="360" w:leader="none"/>
        </w:tabs>
        <w:spacing w:lineRule="exact" w:line="220"/>
        <w:jc w:val="both"/>
        <w:rPr>
          <w:kern w:val="2"/>
          <w:sz w:val="21"/>
        </w:rPr>
      </w:pPr>
      <w:r>
        <w:rPr>
          <w:kern w:val="2"/>
          <w:sz w:val="21"/>
        </w:rPr>
      </w:r>
    </w:p>
    <w:p>
      <w:pPr>
        <w:pStyle w:val="Normal"/>
        <w:jc w:val="both"/>
        <w:rPr>
          <w:kern w:val="2"/>
          <w:sz w:val="21"/>
        </w:rPr>
      </w:pPr>
      <w:r>
        <w:rPr>
          <w:i/>
          <w:kern w:val="2"/>
          <w:sz w:val="21"/>
        </w:rPr>
        <w:t>Cash Flows From Investing Activities</w:t>
      </w:r>
    </w:p>
    <w:p>
      <w:pPr>
        <w:pStyle w:val="Normal"/>
        <w:tabs>
          <w:tab w:val="clear" w:pos="720"/>
          <w:tab w:val="left" w:pos="360" w:leader="none"/>
        </w:tabs>
        <w:spacing w:lineRule="exact" w:line="200"/>
        <w:jc w:val="both"/>
        <w:rPr>
          <w:kern w:val="2"/>
          <w:sz w:val="21"/>
        </w:rPr>
      </w:pPr>
      <w:r>
        <w:rPr>
          <w:kern w:val="2"/>
          <w:sz w:val="21"/>
        </w:rPr>
      </w:r>
    </w:p>
    <w:p>
      <w:pPr>
        <w:pStyle w:val="Normal"/>
        <w:tabs>
          <w:tab w:val="clear" w:pos="720"/>
          <w:tab w:val="left" w:pos="360" w:leader="none"/>
        </w:tabs>
        <w:jc w:val="both"/>
        <w:rPr>
          <w:kern w:val="2"/>
          <w:sz w:val="21"/>
        </w:rPr>
      </w:pPr>
      <w:r>
        <w:rPr>
          <w:kern w:val="2"/>
          <w:sz w:val="21"/>
        </w:rPr>
        <w:tab/>
        <w:t>Net cash used in investing activities totaled $3.2 million for the first three months of 2001 compared to $2.9 million for the same period in 2000.  Cash additions to property, plant, and equipment of $4.3 million in 2001 primarily include $3.4 million for pipeline, storage tank and related facility improvements and $0.2 million for information systems hardware and software.  Proceeds from asset sales were $1.1 million in the first three months of 2001 compared to $0.2 million in the first three months of 2000 primarily due to sales of trucks.</w:t>
      </w:r>
    </w:p>
    <w:p>
      <w:pPr>
        <w:pStyle w:val="Normal"/>
        <w:spacing w:lineRule="exact" w:line="220"/>
        <w:jc w:val="both"/>
        <w:rPr>
          <w:kern w:val="2"/>
          <w:sz w:val="21"/>
        </w:rPr>
      </w:pPr>
      <w:r>
        <w:rPr>
          <w:kern w:val="2"/>
          <w:sz w:val="21"/>
        </w:rPr>
      </w:r>
    </w:p>
    <w:p>
      <w:pPr>
        <w:pStyle w:val="Normal"/>
        <w:jc w:val="both"/>
        <w:rPr>
          <w:i/>
          <w:i/>
          <w:kern w:val="2"/>
          <w:sz w:val="21"/>
        </w:rPr>
      </w:pPr>
      <w:r>
        <w:rPr>
          <w:i/>
          <w:kern w:val="2"/>
          <w:sz w:val="21"/>
        </w:rPr>
      </w:r>
    </w:p>
    <w:p>
      <w:pPr>
        <w:pStyle w:val="Normal"/>
        <w:jc w:val="both"/>
        <w:rPr>
          <w:kern w:val="2"/>
          <w:sz w:val="21"/>
        </w:rPr>
      </w:pPr>
      <w:r>
        <w:rPr>
          <w:i/>
          <w:kern w:val="2"/>
          <w:sz w:val="21"/>
        </w:rPr>
        <w:t>Cash Flows From Financing Activities</w:t>
      </w:r>
    </w:p>
    <w:p>
      <w:pPr>
        <w:pStyle w:val="Normal"/>
        <w:suppressAutoHyphens w:val="true"/>
        <w:spacing w:lineRule="exact" w:line="200"/>
        <w:jc w:val="both"/>
        <w:rPr>
          <w:kern w:val="2"/>
          <w:sz w:val="21"/>
        </w:rPr>
      </w:pPr>
      <w:r>
        <w:rPr>
          <w:kern w:val="2"/>
          <w:sz w:val="21"/>
        </w:rPr>
      </w:r>
    </w:p>
    <w:p>
      <w:pPr>
        <w:pStyle w:val="Normal"/>
        <w:tabs>
          <w:tab w:val="clear" w:pos="720"/>
          <w:tab w:val="left" w:pos="360" w:leader="none"/>
        </w:tabs>
        <w:jc w:val="both"/>
        <w:rPr>
          <w:kern w:val="2"/>
          <w:sz w:val="21"/>
        </w:rPr>
      </w:pPr>
      <w:r>
        <w:rPr>
          <w:kern w:val="2"/>
          <w:sz w:val="21"/>
        </w:rPr>
        <w:tab/>
        <w:t xml:space="preserve">Net cash used in financing activities totaled $19.2 million for the first three months of 2001 compared to net cash used of $10.2 million for the same period in 2000.  The 2001 amount primarily represents an increase in repurchase agreements outstanding offset by distributions paid to all Common Unitholders for the period October 1, 2000 through December 31, 2000. </w:t>
      </w:r>
    </w:p>
    <w:p>
      <w:pPr>
        <w:pStyle w:val="Normal"/>
        <w:jc w:val="both"/>
        <w:rPr>
          <w:i/>
          <w:i/>
          <w:kern w:val="2"/>
          <w:sz w:val="21"/>
        </w:rPr>
      </w:pPr>
      <w:r>
        <w:rPr>
          <w:i/>
          <w:kern w:val="2"/>
          <w:sz w:val="21"/>
        </w:rPr>
      </w:r>
    </w:p>
    <w:p>
      <w:pPr>
        <w:pStyle w:val="Normal"/>
        <w:tabs>
          <w:tab w:val="clear" w:pos="720"/>
          <w:tab w:val="left" w:pos="-1440" w:leader="none"/>
          <w:tab w:val="left" w:pos="-720" w:leader="none"/>
          <w:tab w:val="left" w:pos="0" w:leader="none"/>
          <w:tab w:val="left" w:pos="360" w:leader="none"/>
        </w:tabs>
        <w:suppressAutoHyphens w:val="true"/>
        <w:jc w:val="both"/>
        <w:rPr>
          <w:i/>
          <w:i/>
          <w:spacing w:val="-2"/>
          <w:kern w:val="2"/>
          <w:sz w:val="21"/>
        </w:rPr>
      </w:pPr>
      <w:r>
        <w:rPr>
          <w:i/>
          <w:spacing w:val="-2"/>
          <w:kern w:val="2"/>
          <w:sz w:val="21"/>
        </w:rPr>
      </w:r>
    </w:p>
    <w:p>
      <w:pPr>
        <w:pStyle w:val="Heading2"/>
        <w:tabs>
          <w:tab w:val="clear" w:pos="259"/>
          <w:tab w:val="clear" w:pos="540"/>
          <w:tab w:val="clear" w:pos="720"/>
          <w:tab w:val="clear" w:pos="6840"/>
          <w:tab w:val="clear" w:pos="7020"/>
          <w:tab w:val="clear" w:pos="8100"/>
          <w:tab w:val="clear" w:pos="8280"/>
          <w:tab w:val="clear" w:pos="9360"/>
          <w:tab w:val="left" w:pos="-1440" w:leader="none"/>
          <w:tab w:val="left" w:pos="-720" w:leader="none"/>
          <w:tab w:val="left" w:pos="0" w:leader="none"/>
          <w:tab w:val="left" w:pos="360" w:leader="none"/>
        </w:tabs>
        <w:spacing w:lineRule="auto" w:line="240"/>
        <w:ind w:hanging="0" w:start="0"/>
        <w:rPr/>
      </w:pPr>
      <w:r>
        <w:rPr/>
        <w:t>Other Matters</w:t>
      </w:r>
    </w:p>
    <w:p>
      <w:pPr>
        <w:pStyle w:val="Normal"/>
        <w:tabs>
          <w:tab w:val="clear" w:pos="720"/>
          <w:tab w:val="left" w:pos="360" w:leader="none"/>
        </w:tabs>
        <w:jc w:val="both"/>
        <w:rPr>
          <w:sz w:val="21"/>
        </w:rPr>
      </w:pPr>
      <w:r>
        <w:rPr>
          <w:sz w:val="21"/>
        </w:rPr>
      </w:r>
    </w:p>
    <w:p>
      <w:pPr>
        <w:pStyle w:val="Normal"/>
        <w:tabs>
          <w:tab w:val="left" w:pos="-1440" w:leader="none"/>
          <w:tab w:val="left" w:pos="-720" w:leader="none"/>
          <w:tab w:val="left" w:pos="0" w:leader="none"/>
          <w:tab w:val="left" w:pos="355" w:leader="none"/>
          <w:tab w:val="left" w:pos="720" w:leader="none"/>
        </w:tabs>
        <w:suppressAutoHyphens w:val="true"/>
        <w:jc w:val="both"/>
        <w:rPr>
          <w:sz w:val="21"/>
        </w:rPr>
      </w:pPr>
      <w:r>
        <w:rPr>
          <w:sz w:val="21"/>
        </w:rPr>
        <w:tab/>
        <w:tab/>
        <w:t>Beginning January 1, 2001, EOTT is reporting derivative activities consistent with Statement of Financial Accounting Standards ("SFAS") No.133, "Accounting for Derivative Instruments and Hedging Activities" as amended by SFAS No. 137, “Accounting for Derivative Instruments and Hedging Activities – Deferral of the Effective Date of FASB Statement No. 133 – An Amendment of FASB Statement No. 133”.  SFAS No. 133 requires that derivative instruments (including certain derivative instruments embedded in other contracts) be recorded in the balance sheet as either an asset or liability measured at its fair value.  The Statement requires that changes in the derivative's fair value be recognized currently in earnings unless specific hedge accounting criteria are met.  Special accounting for qualifying hedges allows a derivative's gains and losses to offset related results on the hedged item in the income statement, and requires that a company must formally document, designate, and assess the effectiveness of transactions that receive hedge accounting.  Under SFAS No. 133, EOTT is required to "mark-to-fair value" all of its derivative instruments at each period end.  This contrasts with pre-2001 accounting principles which generally only required EOTT’s transactions designated as energy trading activities to be marked-to-fair value.  Changes in the market value of EOTT's derivative instruments resulting from the mark-to-fair value process will represent unrealized gains and losses.  Such unrealized gains or losses will change, based on prevailing market prices at each subsequent balance sheet date, until the transaction date occurs.  In general, SFAS No. 133 could result in fluctuations in net income in periods of price volatility.  SFAS No. 133 requires that as of the date of the initial adoption, the difference between the fair value of derivative instruments and the previous carrying amount of those derivatives be recorded in net income or other comprehensive income, as appropriate, as the cumulative effect of a change in accounting principle.  The cumulative effect of adopting SFAS No. 133 effective January 1, 2001 was $1.3 million and is reflected as an increase in income in the Consolidated Statement of Operations.</w:t>
      </w:r>
    </w:p>
    <w:p>
      <w:pPr>
        <w:pStyle w:val="Normal"/>
        <w:tabs>
          <w:tab w:val="left" w:pos="-1440" w:leader="none"/>
          <w:tab w:val="left" w:pos="-720" w:leader="none"/>
          <w:tab w:val="left" w:pos="0" w:leader="none"/>
          <w:tab w:val="left" w:pos="355" w:leader="none"/>
          <w:tab w:val="left" w:pos="720" w:leader="none"/>
        </w:tabs>
        <w:suppressAutoHyphens w:val="true"/>
        <w:jc w:val="both"/>
        <w:rPr>
          <w:sz w:val="21"/>
        </w:rPr>
      </w:pPr>
      <w:r>
        <w:rPr>
          <w:sz w:val="21"/>
        </w:rPr>
      </w:r>
    </w:p>
    <w:p>
      <w:pPr>
        <w:pStyle w:val="Normal"/>
        <w:jc w:val="both"/>
        <w:rPr>
          <w:sz w:val="21"/>
        </w:rPr>
      </w:pPr>
      <w:r>
        <w:rPr>
          <w:sz w:val="21"/>
        </w:rPr>
      </w:r>
    </w:p>
    <w:p>
      <w:pPr>
        <w:pStyle w:val="Normal"/>
        <w:jc w:val="both"/>
        <w:rPr>
          <w:sz w:val="21"/>
        </w:rPr>
      </w:pPr>
      <w:r>
        <w:rPr>
          <w:sz w:val="21"/>
        </w:rPr>
      </w:r>
    </w:p>
    <w:p>
      <w:pPr>
        <w:pStyle w:val="Normal"/>
        <w:tabs>
          <w:tab w:val="clear" w:pos="720"/>
          <w:tab w:val="left" w:pos="360" w:leader="none"/>
        </w:tabs>
        <w:jc w:val="both"/>
        <w:rPr>
          <w:sz w:val="21"/>
        </w:rPr>
      </w:pPr>
      <w:r>
        <w:rPr>
          <w:sz w:val="21"/>
        </w:rPr>
        <w:tab/>
        <w:t>In the first quarter of 2001, the Partnership changed its method of accounting for inventories used in its energy trading activities from the average cost method to the fair value method.  The change was made to conform the inventory costing method used for financial reporting purposes to that used by the Partnership to manage it's commercial operations.  Fair value accounting for energy trading inventories is preferable because it better informs users of the financial statements of the Partnership's net commodity price risk with respect to its energy trading activities and it better aligns financial reporting for energy trading inventory with the way in which price risk is measured and managed as part of trading activities.</w:t>
      </w:r>
    </w:p>
    <w:p>
      <w:pPr>
        <w:pStyle w:val="Normal"/>
        <w:jc w:val="both"/>
        <w:rPr>
          <w:sz w:val="21"/>
        </w:rPr>
      </w:pPr>
      <w:r>
        <w:rPr>
          <w:sz w:val="21"/>
        </w:rPr>
      </w:r>
    </w:p>
    <w:p>
      <w:pPr>
        <w:pStyle w:val="Normal"/>
        <w:tabs>
          <w:tab w:val="clear" w:pos="720"/>
          <w:tab w:val="left" w:pos="360" w:leader="none"/>
        </w:tabs>
        <w:jc w:val="both"/>
        <w:rPr>
          <w:sz w:val="21"/>
        </w:rPr>
      </w:pPr>
      <w:r>
        <w:rPr>
          <w:sz w:val="21"/>
        </w:rPr>
        <w:tab/>
        <w:t>The cumulative effect of the change in accounting for inventories as of January 1, 2001 was $0.2 million ($0.01 per diluted Unit) and is reported as a decrease in net income for the first quarter of 2001.  If the new accounting method had been applied retroactively, net income in the first quarter of 2000 would have been $2.3 million or $0.08 per diluted Unit.</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r>
    </w:p>
    <w:p>
      <w:pPr>
        <w:pStyle w:val="Normal"/>
        <w:jc w:val="both"/>
        <w:rPr>
          <w:b/>
          <w:kern w:val="2"/>
          <w:sz w:val="21"/>
        </w:rPr>
      </w:pPr>
      <w:r>
        <w:rPr>
          <w:b/>
          <w:kern w:val="2"/>
          <w:sz w:val="21"/>
        </w:rPr>
        <w:t>Outlook</w:t>
      </w:r>
    </w:p>
    <w:p>
      <w:pPr>
        <w:pStyle w:val="Normal"/>
        <w:tabs>
          <w:tab w:val="clear" w:pos="720"/>
          <w:tab w:val="left" w:pos="360" w:leader="none"/>
        </w:tabs>
        <w:jc w:val="both"/>
        <w:rPr>
          <w:b/>
          <w:kern w:val="2"/>
          <w:sz w:val="21"/>
        </w:rPr>
      </w:pPr>
      <w:r>
        <w:rPr>
          <w:b/>
          <w:kern w:val="2"/>
          <w:sz w:val="21"/>
        </w:rPr>
      </w:r>
    </w:p>
    <w:p>
      <w:pPr>
        <w:pStyle w:val="Normal"/>
        <w:tabs>
          <w:tab w:val="clear" w:pos="720"/>
          <w:tab w:val="left" w:pos="360" w:leader="none"/>
        </w:tabs>
        <w:jc w:val="both"/>
        <w:rPr>
          <w:sz w:val="21"/>
        </w:rPr>
      </w:pPr>
      <w:r>
        <w:rPr>
          <w:sz w:val="21"/>
        </w:rPr>
        <w:tab/>
        <w:t>Historically, the crude oil gathering and marketing business has been very competitive with thin and variable profit margins.  The ability to generate margin in the crude oil marketing and gathering business is not tied to the absolute price level of crude oil prices but is generated by the difference between the price at which crude oil is sold and the price paid and other costs incurred in the purchase and transportation of the crude oil.  The fluctuations in market related indices and the overall levels of supply and demand cannot be projected with certainty.</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The Partnership's strong first quarter 2001 results were primarily due to the favorable market conditions for the lease crude oil business.  The Partnership anticipates that second quarter 2001 results will be lower than the first quarter 2001 results due to the weakness in market prices for the lease crude oil business.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EOTT will pay a cash distribution of $0.475 per Unit to all its Common Unitholders and a cash distribution of $0.20 per Unit to all its subordinated Unitholders on May 15,2001 without any distribution support from Enron.  Enron has committed to provide total cash distribution support in an amount necessary to pay minimum quarterly distributions up to $29 million ($19.7 million of which remains available) to the Common Unitholders through the fourth quarter 2001.</w:t>
      </w:r>
    </w:p>
    <w:p>
      <w:pPr>
        <w:sectPr>
          <w:headerReference w:type="default" r:id="rId14"/>
          <w:headerReference w:type="first" r:id="rId15"/>
          <w:footerReference w:type="default" r:id="rId16"/>
          <w:footerReference w:type="first" r:id="rId17"/>
          <w:type w:val="nextPage"/>
          <w:pgSz w:w="12240" w:h="15840"/>
          <w:pgMar w:left="1440" w:right="1440" w:gutter="0" w:header="1080" w:top="1440" w:footer="1080" w:bottom="1440"/>
          <w:pgNumType w:fmt="decimal"/>
          <w:formProt w:val="false"/>
          <w:textDirection w:val="lrTb"/>
          <w:docGrid w:type="default" w:linePitch="360" w:charSpace="0"/>
        </w:sectPr>
        <w:pStyle w:val="Normal"/>
        <w:tabs>
          <w:tab w:val="clear" w:pos="720"/>
          <w:tab w:val="left" w:pos="360" w:leader="none"/>
        </w:tabs>
        <w:jc w:val="both"/>
        <w:rPr>
          <w:sz w:val="21"/>
        </w:rPr>
      </w:pPr>
      <w:r>
        <w:rPr>
          <w:sz w:val="21"/>
        </w:rPr>
      </w:r>
    </w:p>
    <w:p>
      <w:pPr>
        <w:pStyle w:val="Heading2"/>
        <w:tabs>
          <w:tab w:val="clear" w:pos="259"/>
          <w:tab w:val="clear" w:pos="540"/>
          <w:tab w:val="clear" w:pos="720"/>
          <w:tab w:val="clear" w:pos="6840"/>
          <w:tab w:val="clear" w:pos="7020"/>
          <w:tab w:val="clear" w:pos="8100"/>
          <w:tab w:val="clear" w:pos="8280"/>
          <w:tab w:val="clear" w:pos="9360"/>
          <w:tab w:val="left" w:pos="-1440" w:leader="none"/>
          <w:tab w:val="left" w:pos="-720" w:leader="none"/>
          <w:tab w:val="left" w:pos="0" w:leader="none"/>
          <w:tab w:val="left" w:pos="360" w:leader="none"/>
        </w:tabs>
        <w:spacing w:lineRule="auto" w:line="240"/>
        <w:ind w:hanging="0" w:start="0" w:end="90"/>
        <w:rPr>
          <w:sz w:val="21"/>
        </w:rPr>
      </w:pPr>
      <w:r>
        <w:rPr>
          <w:sz w:val="21"/>
        </w:rPr>
      </w:r>
    </w:p>
    <w:p>
      <w:pPr>
        <w:pStyle w:val="Heading2"/>
        <w:tabs>
          <w:tab w:val="clear" w:pos="259"/>
          <w:tab w:val="clear" w:pos="540"/>
          <w:tab w:val="clear" w:pos="720"/>
          <w:tab w:val="clear" w:pos="6840"/>
          <w:tab w:val="clear" w:pos="7020"/>
          <w:tab w:val="clear" w:pos="8100"/>
          <w:tab w:val="clear" w:pos="8280"/>
          <w:tab w:val="clear" w:pos="9360"/>
          <w:tab w:val="left" w:pos="-1440" w:leader="none"/>
          <w:tab w:val="left" w:pos="-720" w:leader="none"/>
          <w:tab w:val="left" w:pos="0" w:leader="none"/>
          <w:tab w:val="left" w:pos="360" w:leader="none"/>
        </w:tabs>
        <w:spacing w:lineRule="auto" w:line="240"/>
        <w:ind w:hanging="0" w:start="0" w:end="90"/>
        <w:rPr/>
      </w:pPr>
      <w:r>
        <w:rPr/>
      </w:r>
    </w:p>
    <w:p>
      <w:pPr>
        <w:pStyle w:val="Heading2"/>
        <w:tabs>
          <w:tab w:val="clear" w:pos="259"/>
          <w:tab w:val="clear" w:pos="540"/>
          <w:tab w:val="clear" w:pos="720"/>
          <w:tab w:val="clear" w:pos="6840"/>
          <w:tab w:val="clear" w:pos="7020"/>
          <w:tab w:val="clear" w:pos="8100"/>
          <w:tab w:val="clear" w:pos="8280"/>
          <w:tab w:val="clear" w:pos="9360"/>
          <w:tab w:val="left" w:pos="-1440" w:leader="none"/>
          <w:tab w:val="left" w:pos="-720" w:leader="none"/>
          <w:tab w:val="left" w:pos="0" w:leader="none"/>
          <w:tab w:val="left" w:pos="360" w:leader="none"/>
        </w:tabs>
        <w:spacing w:lineRule="auto" w:line="240"/>
        <w:ind w:hanging="0" w:start="0" w:end="90"/>
        <w:rPr/>
      </w:pPr>
      <w:r>
        <w:rPr/>
        <w:t>Quantitative and Qualitative Disclosures about Market Risk</w:t>
      </w:r>
    </w:p>
    <w:p>
      <w:pPr>
        <w:pStyle w:val="Normal"/>
        <w:tabs>
          <w:tab w:val="clear" w:pos="720"/>
          <w:tab w:val="left" w:pos="-1440" w:leader="none"/>
          <w:tab w:val="left" w:pos="-720" w:leader="none"/>
          <w:tab w:val="left" w:pos="0" w:leader="none"/>
          <w:tab w:val="left" w:pos="360" w:leader="none"/>
        </w:tabs>
        <w:suppressAutoHyphens w:val="true"/>
        <w:ind w:end="90"/>
        <w:jc w:val="both"/>
        <w:rPr>
          <w:spacing w:val="-2"/>
          <w:kern w:val="2"/>
          <w:sz w:val="21"/>
        </w:rPr>
      </w:pPr>
      <w:r>
        <w:rPr>
          <w:spacing w:val="-2"/>
          <w:kern w:val="2"/>
          <w:sz w:val="21"/>
        </w:rPr>
      </w:r>
    </w:p>
    <w:p>
      <w:pPr>
        <w:pStyle w:val="Normal"/>
        <w:tabs>
          <w:tab w:val="clear" w:pos="720"/>
          <w:tab w:val="left" w:pos="-1440" w:leader="none"/>
          <w:tab w:val="left" w:pos="-720" w:leader="none"/>
          <w:tab w:val="left" w:pos="0" w:leader="none"/>
          <w:tab w:val="left" w:pos="360" w:leader="none"/>
        </w:tabs>
        <w:suppressAutoHyphens w:val="true"/>
        <w:ind w:end="90"/>
        <w:jc w:val="both"/>
        <w:rPr/>
      </w:pPr>
      <w:r>
        <w:rPr>
          <w:spacing w:val="-2"/>
          <w:kern w:val="2"/>
          <w:sz w:val="21"/>
        </w:rPr>
        <w:tab/>
        <w:t>The information contained in Item 3 updates, and should be read in conjunction with, information set forth in Part II, Item 7a in EOTT’s Annual Report on Form 10-K for the year ended December 31, 2000, in addition to the interim condensed consolidated financial statements and accompanying notes presented in Items 1 and 2 of this Form</w:t>
      </w:r>
      <w:r>
        <w:rPr/>
        <w:t> </w:t>
      </w:r>
      <w:r>
        <w:rPr>
          <w:spacing w:val="-2"/>
          <w:kern w:val="2"/>
          <w:sz w:val="21"/>
        </w:rPr>
        <w:t>10-Q.</w:t>
      </w:r>
    </w:p>
    <w:p>
      <w:pPr>
        <w:pStyle w:val="Normal"/>
        <w:tabs>
          <w:tab w:val="clear" w:pos="720"/>
          <w:tab w:val="left" w:pos="-1440" w:leader="none"/>
          <w:tab w:val="left" w:pos="-720" w:leader="none"/>
          <w:tab w:val="left" w:pos="0" w:leader="none"/>
          <w:tab w:val="left" w:pos="360" w:leader="none"/>
        </w:tabs>
        <w:suppressAutoHyphens w:val="true"/>
        <w:ind w:end="90"/>
        <w:jc w:val="both"/>
        <w:rPr>
          <w:spacing w:val="-2"/>
          <w:kern w:val="2"/>
          <w:sz w:val="21"/>
        </w:rPr>
      </w:pPr>
      <w:r>
        <w:rPr>
          <w:spacing w:val="-2"/>
          <w:kern w:val="2"/>
          <w:sz w:val="21"/>
        </w:rPr>
      </w:r>
    </w:p>
    <w:p>
      <w:pPr>
        <w:pStyle w:val="Normal"/>
        <w:tabs>
          <w:tab w:val="clear" w:pos="720"/>
          <w:tab w:val="left" w:pos="-1440" w:leader="none"/>
          <w:tab w:val="left" w:pos="-720" w:leader="none"/>
          <w:tab w:val="left" w:pos="0" w:leader="none"/>
          <w:tab w:val="left" w:pos="360" w:leader="none"/>
        </w:tabs>
        <w:suppressAutoHyphens w:val="true"/>
        <w:ind w:end="90"/>
        <w:jc w:val="both"/>
        <w:rPr>
          <w:spacing w:val="-2"/>
          <w:kern w:val="2"/>
          <w:sz w:val="21"/>
        </w:rPr>
      </w:pPr>
      <w:r>
        <w:rPr>
          <w:spacing w:val="-2"/>
          <w:kern w:val="2"/>
          <w:sz w:val="21"/>
        </w:rPr>
        <w:tab/>
        <w:t>There are no material changes in market risks faced by the Company from those reported in EOTT’s Annual Report on Form 10-K for the year ended December 31, 2000.</w:t>
      </w:r>
    </w:p>
    <w:p>
      <w:pPr>
        <w:sectPr>
          <w:headerReference w:type="default" r:id="rId18"/>
          <w:headerReference w:type="first" r:id="rId19"/>
          <w:footerReference w:type="default" r:id="rId20"/>
          <w:footerReference w:type="first" r:id="rId21"/>
          <w:type w:val="nextPage"/>
          <w:pgSz w:w="12240" w:h="15840"/>
          <w:pgMar w:left="1440" w:right="1440" w:gutter="0" w:header="1080" w:top="1440" w:footer="1080" w:bottom="1440"/>
          <w:pgNumType w:fmt="decimal"/>
          <w:formProt w:val="false"/>
          <w:textDirection w:val="lrTb"/>
          <w:docGrid w:type="default" w:linePitch="360" w:charSpace="0"/>
        </w:sectPr>
        <w:pStyle w:val="Normal"/>
        <w:tabs>
          <w:tab w:val="clear" w:pos="720"/>
          <w:tab w:val="left" w:pos="-1440" w:leader="none"/>
          <w:tab w:val="left" w:pos="-720" w:leader="none"/>
          <w:tab w:val="left" w:pos="0" w:leader="none"/>
          <w:tab w:val="left" w:pos="360" w:leader="none"/>
        </w:tabs>
        <w:suppressAutoHyphens w:val="true"/>
        <w:ind w:end="90"/>
        <w:jc w:val="both"/>
        <w:rPr>
          <w:spacing w:val="-2"/>
          <w:kern w:val="2"/>
          <w:sz w:val="21"/>
        </w:rPr>
      </w:pPr>
      <w:r>
        <w:rPr>
          <w:spacing w:val="-2"/>
          <w:kern w:val="2"/>
          <w:sz w:val="21"/>
        </w:rPr>
        <w:tab/>
      </w:r>
    </w:p>
    <w:p>
      <w:pPr>
        <w:pStyle w:val="Normal"/>
        <w:tabs>
          <w:tab w:val="clear" w:pos="720"/>
          <w:tab w:val="left" w:pos="-1440" w:leader="none"/>
          <w:tab w:val="left" w:pos="-720" w:leader="none"/>
          <w:tab w:val="left" w:pos="0" w:leader="none"/>
          <w:tab w:val="left" w:pos="432" w:leader="none"/>
        </w:tabs>
        <w:suppressAutoHyphens w:val="true"/>
        <w:spacing w:lineRule="auto" w:line="228"/>
        <w:jc w:val="center"/>
        <w:rPr>
          <w:b/>
          <w:spacing w:val="-2"/>
          <w:kern w:val="2"/>
          <w:sz w:val="22"/>
        </w:rPr>
      </w:pPr>
      <w:r>
        <w:rPr>
          <w:b/>
          <w:spacing w:val="-2"/>
          <w:kern w:val="2"/>
          <w:sz w:val="22"/>
        </w:rPr>
      </w:r>
    </w:p>
    <w:p>
      <w:pPr>
        <w:pStyle w:val="Normal"/>
        <w:tabs>
          <w:tab w:val="clear" w:pos="720"/>
          <w:tab w:val="left" w:pos="-1440" w:leader="none"/>
          <w:tab w:val="left" w:pos="-720" w:leader="none"/>
          <w:tab w:val="left" w:pos="0" w:leader="none"/>
          <w:tab w:val="left" w:pos="432" w:leader="none"/>
        </w:tabs>
        <w:suppressAutoHyphens w:val="true"/>
        <w:spacing w:lineRule="auto" w:line="228"/>
        <w:jc w:val="center"/>
        <w:rPr>
          <w:b/>
          <w:kern w:val="2"/>
          <w:sz w:val="22"/>
        </w:rPr>
      </w:pPr>
      <w:r>
        <w:rPr>
          <w:b/>
          <w:kern w:val="2"/>
          <w:sz w:val="22"/>
        </w:rPr>
        <w:t>PART II. OTHER INFORMATION</w:t>
      </w:r>
    </w:p>
    <w:p>
      <w:pPr>
        <w:pStyle w:val="Normal"/>
        <w:tabs>
          <w:tab w:val="clear" w:pos="720"/>
          <w:tab w:val="left" w:pos="-1440" w:leader="none"/>
          <w:tab w:val="left" w:pos="-720" w:leader="none"/>
          <w:tab w:val="left" w:pos="0" w:leader="none"/>
          <w:tab w:val="left" w:pos="432" w:leader="none"/>
        </w:tabs>
        <w:suppressAutoHyphens w:val="true"/>
        <w:spacing w:lineRule="auto" w:line="228"/>
        <w:jc w:val="center"/>
        <w:rPr>
          <w:b/>
          <w:kern w:val="2"/>
          <w:sz w:val="22"/>
        </w:rPr>
      </w:pPr>
      <w:r>
        <w:rPr>
          <w:b/>
          <w:kern w:val="2"/>
          <w:sz w:val="22"/>
        </w:rPr>
      </w:r>
    </w:p>
    <w:p>
      <w:pPr>
        <w:pStyle w:val="Normal"/>
        <w:tabs>
          <w:tab w:val="clear" w:pos="720"/>
          <w:tab w:val="left" w:pos="-1440" w:leader="none"/>
          <w:tab w:val="left" w:pos="-720" w:leader="none"/>
          <w:tab w:val="left" w:pos="0" w:leader="none"/>
          <w:tab w:val="left" w:pos="432" w:leader="none"/>
        </w:tabs>
        <w:suppressAutoHyphens w:val="true"/>
        <w:spacing w:lineRule="auto" w:line="228"/>
        <w:jc w:val="center"/>
        <w:rPr>
          <w:b/>
          <w:kern w:val="2"/>
          <w:sz w:val="22"/>
        </w:rPr>
      </w:pPr>
      <w:r>
        <w:rPr>
          <w:b/>
          <w:kern w:val="2"/>
          <w:sz w:val="22"/>
        </w:rPr>
        <w:t>EOTT ENERGY PARTNERS, L.P.</w:t>
      </w:r>
    </w:p>
    <w:p>
      <w:pPr>
        <w:pStyle w:val="Normal"/>
        <w:tabs>
          <w:tab w:val="clear" w:pos="720"/>
          <w:tab w:val="left" w:pos="-1440" w:leader="none"/>
          <w:tab w:val="left" w:pos="-720" w:leader="none"/>
          <w:tab w:val="left" w:pos="0" w:leader="none"/>
          <w:tab w:val="left" w:pos="432" w:leader="none"/>
        </w:tabs>
        <w:suppressAutoHyphens w:val="true"/>
        <w:spacing w:lineRule="auto" w:line="228"/>
        <w:jc w:val="center"/>
        <w:rPr>
          <w:b/>
          <w:kern w:val="2"/>
          <w:sz w:val="22"/>
        </w:rPr>
      </w:pPr>
      <w:r>
        <w:rPr>
          <w:b/>
          <w:kern w:val="2"/>
          <w:sz w:val="22"/>
        </w:rPr>
      </w:r>
    </w:p>
    <w:p>
      <w:pPr>
        <w:pStyle w:val="Normal"/>
        <w:tabs>
          <w:tab w:val="clear" w:pos="720"/>
          <w:tab w:val="left" w:pos="-1440" w:leader="none"/>
          <w:tab w:val="left" w:pos="-720" w:leader="none"/>
          <w:tab w:val="left" w:pos="0" w:leader="none"/>
          <w:tab w:val="left" w:pos="432" w:leader="none"/>
        </w:tabs>
        <w:suppressAutoHyphens w:val="true"/>
        <w:spacing w:lineRule="auto" w:line="228"/>
        <w:jc w:val="center"/>
        <w:rPr>
          <w:kern w:val="2"/>
          <w:sz w:val="22"/>
        </w:rPr>
      </w:pPr>
      <w:r>
        <w:rPr>
          <w:kern w:val="2"/>
          <w:sz w:val="22"/>
        </w:rPr>
      </w:r>
    </w:p>
    <w:p>
      <w:pPr>
        <w:pStyle w:val="Normal"/>
        <w:tabs>
          <w:tab w:val="clear" w:pos="720"/>
          <w:tab w:val="left" w:pos="346" w:leader="none"/>
          <w:tab w:val="left" w:pos="605" w:leader="none"/>
          <w:tab w:val="left" w:pos="950" w:leader="none"/>
          <w:tab w:val="left" w:pos="1296" w:leader="none"/>
          <w:tab w:val="center" w:pos="8294" w:leader="none"/>
        </w:tabs>
        <w:suppressAutoHyphens w:val="true"/>
        <w:spacing w:lineRule="auto" w:line="228"/>
        <w:jc w:val="both"/>
        <w:rPr>
          <w:spacing w:val="-2"/>
          <w:kern w:val="2"/>
          <w:sz w:val="21"/>
        </w:rPr>
      </w:pPr>
      <w:r>
        <w:rPr>
          <w:spacing w:val="-2"/>
          <w:kern w:val="2"/>
          <w:sz w:val="21"/>
        </w:rPr>
      </w:r>
    </w:p>
    <w:p>
      <w:pPr>
        <w:pStyle w:val="Normal"/>
        <w:tabs>
          <w:tab w:val="clear" w:pos="720"/>
          <w:tab w:val="left" w:pos="346" w:leader="none"/>
          <w:tab w:val="left" w:pos="605" w:leader="none"/>
          <w:tab w:val="left" w:pos="900" w:leader="none"/>
          <w:tab w:val="left" w:pos="1296" w:leader="none"/>
          <w:tab w:val="center" w:pos="8294" w:leader="none"/>
        </w:tabs>
        <w:suppressAutoHyphens w:val="true"/>
        <w:spacing w:lineRule="auto" w:line="228"/>
        <w:jc w:val="both"/>
        <w:rPr>
          <w:spacing w:val="-2"/>
          <w:kern w:val="2"/>
          <w:sz w:val="21"/>
        </w:rPr>
      </w:pPr>
      <w:r>
        <w:rPr>
          <w:spacing w:val="-2"/>
          <w:kern w:val="2"/>
          <w:sz w:val="21"/>
        </w:rPr>
        <w:t>ITEM 1.</w:t>
        <w:tab/>
        <w:t>Legal Proceedings</w:t>
      </w:r>
    </w:p>
    <w:p>
      <w:pPr>
        <w:pStyle w:val="Normal"/>
        <w:tabs>
          <w:tab w:val="clear" w:pos="720"/>
          <w:tab w:val="left" w:pos="346" w:leader="none"/>
          <w:tab w:val="left" w:pos="605" w:leader="none"/>
          <w:tab w:val="left" w:pos="950" w:leader="none"/>
          <w:tab w:val="left" w:pos="1296" w:leader="none"/>
          <w:tab w:val="center" w:pos="8294" w:leader="none"/>
        </w:tabs>
        <w:suppressAutoHyphens w:val="true"/>
        <w:spacing w:lineRule="auto" w:line="228"/>
        <w:jc w:val="both"/>
        <w:rPr>
          <w:spacing w:val="-2"/>
          <w:kern w:val="2"/>
          <w:sz w:val="21"/>
        </w:rPr>
      </w:pPr>
      <w:r>
        <w:rPr>
          <w:spacing w:val="-2"/>
          <w:kern w:val="2"/>
          <w:sz w:val="21"/>
        </w:rPr>
      </w:r>
    </w:p>
    <w:p>
      <w:pPr>
        <w:pStyle w:val="BodyTextIndent2"/>
        <w:tabs>
          <w:tab w:val="clear" w:pos="346"/>
          <w:tab w:val="clear" w:pos="605"/>
          <w:tab w:val="clear" w:pos="810"/>
          <w:tab w:val="left" w:pos="360" w:leader="none"/>
          <w:tab w:val="left" w:pos="630" w:leader="none"/>
          <w:tab w:val="left" w:pos="1296" w:leader="none"/>
          <w:tab w:val="center" w:pos="8294" w:leader="none"/>
        </w:tabs>
        <w:ind w:hanging="0" w:start="0" w:end="0"/>
        <w:rPr/>
      </w:pPr>
      <w:r>
        <w:rPr/>
        <w:tab/>
        <w:t xml:space="preserve">See Part I. Item 1, Note </w:t>
      </w:r>
      <w:r>
        <w:rPr>
          <w:color w:val="FF0000"/>
        </w:rPr>
        <w:t>3</w:t>
      </w:r>
      <w:r>
        <w:rPr/>
        <w:t xml:space="preserve"> to the Condensed Consolidated Financial Statements entitled “Litigation and Other Contingencies,” which is incorporated herein by reference.</w:t>
      </w:r>
    </w:p>
    <w:p>
      <w:pPr>
        <w:pStyle w:val="Normal"/>
        <w:tabs>
          <w:tab w:val="clear" w:pos="720"/>
          <w:tab w:val="left" w:pos="346" w:leader="none"/>
          <w:tab w:val="left" w:pos="605" w:leader="none"/>
          <w:tab w:val="left" w:pos="950" w:leader="none"/>
          <w:tab w:val="left" w:pos="1296" w:leader="none"/>
          <w:tab w:val="center" w:pos="8294" w:leader="none"/>
        </w:tabs>
        <w:suppressAutoHyphens w:val="true"/>
        <w:spacing w:lineRule="auto" w:line="228"/>
        <w:jc w:val="both"/>
        <w:rPr>
          <w:spacing w:val="-2"/>
          <w:kern w:val="2"/>
          <w:sz w:val="21"/>
        </w:rPr>
      </w:pPr>
      <w:r>
        <w:rPr>
          <w:spacing w:val="-2"/>
          <w:kern w:val="2"/>
          <w:sz w:val="21"/>
        </w:rPr>
      </w:r>
    </w:p>
    <w:p>
      <w:pPr>
        <w:pStyle w:val="Normal"/>
        <w:tabs>
          <w:tab w:val="clear" w:pos="720"/>
          <w:tab w:val="left" w:pos="346" w:leader="none"/>
          <w:tab w:val="left" w:pos="605" w:leader="none"/>
          <w:tab w:val="left" w:pos="950" w:leader="none"/>
          <w:tab w:val="left" w:pos="1296" w:leader="none"/>
          <w:tab w:val="center" w:pos="8294" w:leader="none"/>
        </w:tabs>
        <w:suppressAutoHyphens w:val="true"/>
        <w:spacing w:lineRule="auto" w:line="228"/>
        <w:jc w:val="both"/>
        <w:rPr>
          <w:spacing w:val="-2"/>
          <w:kern w:val="2"/>
          <w:sz w:val="21"/>
        </w:rPr>
      </w:pPr>
      <w:r>
        <w:rPr>
          <w:spacing w:val="-2"/>
          <w:kern w:val="2"/>
          <w:sz w:val="21"/>
        </w:rPr>
      </w:r>
    </w:p>
    <w:p>
      <w:pPr>
        <w:pStyle w:val="Normal"/>
        <w:tabs>
          <w:tab w:val="clear" w:pos="720"/>
          <w:tab w:val="left" w:pos="346" w:leader="none"/>
          <w:tab w:val="left" w:pos="605" w:leader="none"/>
          <w:tab w:val="left" w:pos="900" w:leader="none"/>
          <w:tab w:val="left" w:pos="1296" w:leader="none"/>
          <w:tab w:val="center" w:pos="8294" w:leader="none"/>
        </w:tabs>
        <w:suppressAutoHyphens w:val="true"/>
        <w:spacing w:lineRule="auto" w:line="228"/>
        <w:jc w:val="both"/>
        <w:rPr>
          <w:spacing w:val="-2"/>
          <w:kern w:val="2"/>
          <w:sz w:val="21"/>
        </w:rPr>
      </w:pPr>
      <w:r>
        <w:rPr>
          <w:spacing w:val="-2"/>
          <w:kern w:val="2"/>
          <w:sz w:val="21"/>
        </w:rPr>
        <w:t>ITEM 6.</w:t>
        <w:tab/>
        <w:t>Exhibits and Reports on Form 8-K</w:t>
      </w:r>
    </w:p>
    <w:p>
      <w:pPr>
        <w:pStyle w:val="Normal"/>
        <w:tabs>
          <w:tab w:val="clear" w:pos="720"/>
          <w:tab w:val="left" w:pos="346" w:leader="none"/>
          <w:tab w:val="left" w:pos="605" w:leader="none"/>
          <w:tab w:val="left" w:pos="950" w:leader="none"/>
          <w:tab w:val="left" w:pos="1296" w:leader="none"/>
          <w:tab w:val="center" w:pos="8294" w:leader="none"/>
        </w:tabs>
        <w:suppressAutoHyphens w:val="true"/>
        <w:spacing w:lineRule="auto" w:line="228"/>
        <w:jc w:val="both"/>
        <w:rPr>
          <w:spacing w:val="-2"/>
          <w:kern w:val="2"/>
          <w:sz w:val="21"/>
        </w:rPr>
      </w:pPr>
      <w:r>
        <w:rPr>
          <w:spacing w:val="-2"/>
          <w:kern w:val="2"/>
          <w:sz w:val="21"/>
        </w:rPr>
      </w:r>
    </w:p>
    <w:p>
      <w:pPr>
        <w:pStyle w:val="Normal"/>
        <w:numPr>
          <w:ilvl w:val="0"/>
          <w:numId w:val="3"/>
        </w:numPr>
        <w:tabs>
          <w:tab w:val="clear" w:pos="720"/>
          <w:tab w:val="left" w:pos="605" w:leader="none"/>
          <w:tab w:val="left" w:pos="950" w:leader="none"/>
          <w:tab w:val="left" w:pos="1296" w:leader="none"/>
          <w:tab w:val="center" w:pos="8294" w:leader="none"/>
        </w:tabs>
        <w:suppressAutoHyphens w:val="true"/>
        <w:spacing w:lineRule="auto" w:line="228"/>
        <w:jc w:val="both"/>
        <w:rPr>
          <w:spacing w:val="-2"/>
          <w:kern w:val="2"/>
          <w:sz w:val="21"/>
        </w:rPr>
      </w:pPr>
      <w:r>
        <w:rPr>
          <w:spacing w:val="-2"/>
          <w:kern w:val="2"/>
          <w:sz w:val="21"/>
        </w:rPr>
        <w:t>Exhibits.</w:t>
      </w:r>
    </w:p>
    <w:p>
      <w:pPr>
        <w:pStyle w:val="Normal"/>
        <w:tabs>
          <w:tab w:val="clear" w:pos="720"/>
          <w:tab w:val="left" w:pos="346" w:leader="none"/>
          <w:tab w:val="left" w:pos="605" w:leader="none"/>
          <w:tab w:val="left" w:pos="950" w:leader="none"/>
          <w:tab w:val="left" w:pos="1296" w:leader="none"/>
          <w:tab w:val="center" w:pos="8294" w:leader="none"/>
        </w:tabs>
        <w:suppressAutoHyphens w:val="true"/>
        <w:spacing w:lineRule="auto" w:line="228"/>
        <w:jc w:val="both"/>
        <w:rPr>
          <w:spacing w:val="-2"/>
          <w:kern w:val="2"/>
          <w:sz w:val="21"/>
        </w:rPr>
      </w:pPr>
      <w:r>
        <w:rPr>
          <w:spacing w:val="-2"/>
          <w:kern w:val="2"/>
          <w:sz w:val="21"/>
        </w:rPr>
      </w:r>
    </w:p>
    <w:p>
      <w:pPr>
        <w:pStyle w:val="Normal"/>
        <w:tabs>
          <w:tab w:val="clear" w:pos="720"/>
          <w:tab w:val="left" w:pos="346" w:leader="none"/>
          <w:tab w:val="left" w:pos="1800" w:leader="none"/>
          <w:tab w:val="center" w:pos="8294" w:leader="none"/>
        </w:tabs>
        <w:suppressAutoHyphens w:val="true"/>
        <w:spacing w:lineRule="auto" w:line="228"/>
        <w:ind w:start="360" w:end="0"/>
        <w:jc w:val="both"/>
        <w:rPr>
          <w:sz w:val="21"/>
        </w:rPr>
      </w:pPr>
      <w:r>
        <w:rPr>
          <w:sz w:val="21"/>
        </w:rPr>
        <w:t>None</w:t>
      </w:r>
    </w:p>
    <w:p>
      <w:pPr>
        <w:pStyle w:val="Normal"/>
        <w:tabs>
          <w:tab w:val="clear" w:pos="720"/>
          <w:tab w:val="left" w:pos="346" w:leader="none"/>
          <w:tab w:val="left" w:pos="1800" w:leader="none"/>
          <w:tab w:val="center" w:pos="8294" w:leader="none"/>
        </w:tabs>
        <w:suppressAutoHyphens w:val="true"/>
        <w:spacing w:lineRule="auto" w:line="228"/>
        <w:jc w:val="both"/>
        <w:rPr>
          <w:spacing w:val="-2"/>
          <w:kern w:val="2"/>
          <w:sz w:val="21"/>
        </w:rPr>
      </w:pPr>
      <w:r>
        <w:rPr>
          <w:spacing w:val="-2"/>
          <w:kern w:val="2"/>
          <w:sz w:val="21"/>
        </w:rPr>
      </w:r>
    </w:p>
    <w:p>
      <w:pPr>
        <w:pStyle w:val="Normal"/>
        <w:tabs>
          <w:tab w:val="clear" w:pos="720"/>
          <w:tab w:val="left" w:pos="346" w:leader="none"/>
          <w:tab w:val="left" w:pos="605" w:leader="none"/>
          <w:tab w:val="left" w:pos="950" w:leader="none"/>
          <w:tab w:val="left" w:pos="1440" w:leader="none"/>
          <w:tab w:val="center" w:pos="8294" w:leader="none"/>
        </w:tabs>
        <w:suppressAutoHyphens w:val="true"/>
        <w:spacing w:lineRule="auto" w:line="228"/>
        <w:jc w:val="both"/>
        <w:rPr>
          <w:spacing w:val="-2"/>
          <w:kern w:val="2"/>
          <w:sz w:val="21"/>
        </w:rPr>
      </w:pPr>
      <w:r>
        <w:rPr>
          <w:spacing w:val="-2"/>
          <w:kern w:val="2"/>
          <w:sz w:val="21"/>
        </w:rPr>
        <w:t>(b)</w:t>
        <w:tab/>
        <w:t>Reports on Form 8-K.</w:t>
      </w:r>
    </w:p>
    <w:p>
      <w:pPr>
        <w:pStyle w:val="Normal"/>
        <w:tabs>
          <w:tab w:val="clear" w:pos="720"/>
          <w:tab w:val="left" w:pos="360" w:leader="none"/>
          <w:tab w:val="left" w:pos="540" w:leader="none"/>
          <w:tab w:val="left" w:pos="1980" w:leader="none"/>
          <w:tab w:val="left" w:pos="2520" w:leader="none"/>
        </w:tabs>
        <w:ind w:hanging="2520" w:start="2520" w:end="720"/>
        <w:jc w:val="both"/>
        <w:rPr>
          <w:spacing w:val="-2"/>
          <w:kern w:val="2"/>
          <w:sz w:val="21"/>
        </w:rPr>
      </w:pPr>
      <w:r>
        <w:rPr>
          <w:spacing w:val="-2"/>
          <w:kern w:val="2"/>
          <w:sz w:val="21"/>
        </w:rPr>
      </w:r>
    </w:p>
    <w:p>
      <w:pPr>
        <w:pStyle w:val="Normal"/>
        <w:tabs>
          <w:tab w:val="clear" w:pos="720"/>
          <w:tab w:val="left" w:pos="360" w:leader="none"/>
          <w:tab w:val="left" w:pos="540" w:leader="none"/>
          <w:tab w:val="left" w:pos="2250" w:leader="none"/>
          <w:tab w:val="left" w:pos="2700" w:leader="none"/>
        </w:tabs>
        <w:spacing w:before="120" w:after="0"/>
        <w:ind w:hanging="2520" w:start="2700" w:end="720"/>
        <w:jc w:val="both"/>
        <w:rPr>
          <w:sz w:val="21"/>
        </w:rPr>
      </w:pPr>
      <w:r>
        <w:rPr>
          <w:sz w:val="21"/>
        </w:rPr>
        <w:tab/>
        <w:t>None.</w:t>
      </w:r>
    </w:p>
    <w:p>
      <w:pPr>
        <w:pStyle w:val="Normal"/>
        <w:tabs>
          <w:tab w:val="clear" w:pos="720"/>
          <w:tab w:val="left" w:pos="346" w:leader="none"/>
          <w:tab w:val="left" w:pos="605" w:leader="none"/>
          <w:tab w:val="left" w:pos="950" w:leader="none"/>
          <w:tab w:val="left" w:pos="1296" w:leader="none"/>
          <w:tab w:val="center" w:pos="8294" w:leader="none"/>
        </w:tabs>
        <w:suppressAutoHyphens w:val="true"/>
        <w:spacing w:lineRule="auto" w:line="228"/>
        <w:jc w:val="both"/>
        <w:rPr>
          <w:spacing w:val="-2"/>
          <w:kern w:val="2"/>
          <w:sz w:val="21"/>
        </w:rPr>
      </w:pPr>
      <w:r>
        <w:rPr>
          <w:spacing w:val="-2"/>
          <w:kern w:val="2"/>
          <w:sz w:val="21"/>
        </w:rPr>
      </w:r>
    </w:p>
    <w:p>
      <w:pPr>
        <w:pStyle w:val="Normal"/>
        <w:tabs>
          <w:tab w:val="clear" w:pos="720"/>
          <w:tab w:val="center" w:pos="4680" w:leader="none"/>
        </w:tabs>
        <w:suppressAutoHyphens w:val="true"/>
        <w:spacing w:lineRule="auto" w:line="228"/>
        <w:jc w:val="both"/>
        <w:rPr>
          <w:spacing w:val="-2"/>
          <w:kern w:val="2"/>
          <w:sz w:val="22"/>
        </w:rPr>
      </w:pPr>
      <w:r>
        <w:rPr>
          <w:spacing w:val="-2"/>
          <w:kern w:val="2"/>
          <w:sz w:val="22"/>
        </w:rPr>
        <w:tab/>
      </w:r>
      <w:r>
        <w:br w:type="page"/>
      </w:r>
    </w:p>
    <w:p>
      <w:pPr>
        <w:pStyle w:val="Normal"/>
        <w:suppressAutoHyphens w:val="true"/>
        <w:spacing w:lineRule="auto" w:line="228"/>
        <w:jc w:val="both"/>
        <w:rPr>
          <w:spacing w:val="-2"/>
          <w:kern w:val="2"/>
          <w:sz w:val="22"/>
        </w:rPr>
      </w:pPr>
      <w:r>
        <w:rPr>
          <w:spacing w:val="-2"/>
          <w:kern w:val="2"/>
          <w:sz w:val="22"/>
        </w:rPr>
      </w:r>
    </w:p>
    <w:p>
      <w:pPr>
        <w:pStyle w:val="Normal"/>
        <w:suppressAutoHyphens w:val="true"/>
        <w:spacing w:lineRule="auto" w:line="228"/>
        <w:jc w:val="both"/>
        <w:rPr>
          <w:spacing w:val="-2"/>
          <w:kern w:val="2"/>
          <w:sz w:val="22"/>
        </w:rPr>
      </w:pPr>
      <w:r>
        <w:rPr>
          <w:spacing w:val="-2"/>
          <w:kern w:val="2"/>
          <w:sz w:val="22"/>
        </w:rPr>
      </w:r>
    </w:p>
    <w:p>
      <w:pPr>
        <w:pStyle w:val="Normal"/>
        <w:tabs>
          <w:tab w:val="clear" w:pos="720"/>
          <w:tab w:val="center" w:pos="4680" w:leader="none"/>
        </w:tabs>
        <w:suppressAutoHyphens w:val="true"/>
        <w:spacing w:lineRule="auto" w:line="228"/>
        <w:jc w:val="both"/>
        <w:rPr>
          <w:spacing w:val="-2"/>
          <w:kern w:val="2"/>
          <w:sz w:val="22"/>
        </w:rPr>
      </w:pPr>
      <w:r>
        <w:rPr>
          <w:spacing w:val="-2"/>
          <w:kern w:val="2"/>
          <w:sz w:val="22"/>
        </w:rPr>
        <w:tab/>
        <w:t>SIGNATURES</w:t>
      </w:r>
    </w:p>
    <w:p>
      <w:pPr>
        <w:pStyle w:val="Normal"/>
        <w:tabs>
          <w:tab w:val="clear" w:pos="720"/>
          <w:tab w:val="left" w:pos="346" w:leader="none"/>
          <w:tab w:val="left" w:pos="605" w:leader="none"/>
          <w:tab w:val="left" w:pos="950" w:leader="none"/>
          <w:tab w:val="left" w:pos="1296" w:leader="none"/>
          <w:tab w:val="center" w:pos="8294" w:leader="none"/>
        </w:tabs>
        <w:suppressAutoHyphens w:val="true"/>
        <w:spacing w:lineRule="auto" w:line="228"/>
        <w:jc w:val="both"/>
        <w:rPr>
          <w:spacing w:val="-2"/>
          <w:kern w:val="2"/>
          <w:sz w:val="22"/>
        </w:rPr>
      </w:pPr>
      <w:r>
        <w:rPr>
          <w:spacing w:val="-2"/>
          <w:kern w:val="2"/>
          <w:sz w:val="22"/>
        </w:rPr>
      </w:r>
    </w:p>
    <w:p>
      <w:pPr>
        <w:pStyle w:val="Normal"/>
        <w:tabs>
          <w:tab w:val="left" w:pos="720" w:leader="none"/>
          <w:tab w:val="left" w:pos="1469" w:leader="none"/>
          <w:tab w:val="left" w:pos="5098" w:leader="none"/>
          <w:tab w:val="left" w:pos="5530" w:leader="none"/>
        </w:tabs>
        <w:suppressAutoHyphens w:val="true"/>
        <w:spacing w:lineRule="auto" w:line="228"/>
        <w:jc w:val="both"/>
        <w:rPr>
          <w:spacing w:val="-2"/>
          <w:kern w:val="2"/>
          <w:sz w:val="22"/>
        </w:rPr>
      </w:pPr>
      <w:r>
        <w:rPr>
          <w:spacing w:val="-2"/>
          <w:kern w:val="2"/>
          <w:sz w:val="22"/>
        </w:rPr>
      </w:r>
    </w:p>
    <w:p>
      <w:pPr>
        <w:pStyle w:val="Normal"/>
        <w:tabs>
          <w:tab w:val="left" w:pos="720" w:leader="none"/>
          <w:tab w:val="left" w:pos="1469" w:leader="none"/>
          <w:tab w:val="left" w:pos="5098" w:leader="none"/>
          <w:tab w:val="left" w:pos="5530" w:leader="none"/>
        </w:tabs>
        <w:suppressAutoHyphens w:val="true"/>
        <w:spacing w:lineRule="auto" w:line="228"/>
        <w:jc w:val="both"/>
        <w:rPr>
          <w:spacing w:val="-2"/>
          <w:kern w:val="2"/>
          <w:sz w:val="22"/>
        </w:rPr>
      </w:pPr>
      <w:r>
        <w:rPr>
          <w:spacing w:val="-2"/>
          <w:kern w:val="2"/>
          <w:sz w:val="22"/>
        </w:rPr>
      </w:r>
    </w:p>
    <w:p>
      <w:pPr>
        <w:pStyle w:val="Normal"/>
        <w:tabs>
          <w:tab w:val="left" w:pos="360" w:leader="none"/>
          <w:tab w:val="left" w:pos="720" w:leader="none"/>
          <w:tab w:val="left" w:pos="1469" w:leader="none"/>
          <w:tab w:val="left" w:pos="5098" w:leader="none"/>
          <w:tab w:val="left" w:pos="5530" w:leader="none"/>
        </w:tabs>
        <w:suppressAutoHyphens w:val="true"/>
        <w:spacing w:lineRule="auto" w:line="228"/>
        <w:jc w:val="both"/>
        <w:rPr>
          <w:spacing w:val="-2"/>
          <w:kern w:val="2"/>
          <w:sz w:val="22"/>
        </w:rPr>
      </w:pPr>
      <w:r>
        <w:rPr>
          <w:spacing w:val="-2"/>
          <w:kern w:val="2"/>
          <w:sz w:val="22"/>
        </w:rPr>
        <w:tab/>
        <w:t>Pursuant to the requirements of the Securities Exchange Act of 1934, the Registrant has duly caused this report to be signed on its behalf by the undersigned thereunto duly authorized.</w:t>
      </w:r>
    </w:p>
    <w:p>
      <w:pPr>
        <w:pStyle w:val="Normal"/>
        <w:tabs>
          <w:tab w:val="left" w:pos="720" w:leader="none"/>
          <w:tab w:val="left" w:pos="1469" w:leader="none"/>
          <w:tab w:val="left" w:pos="5098" w:leader="none"/>
          <w:tab w:val="left" w:pos="5530" w:leader="none"/>
        </w:tabs>
        <w:suppressAutoHyphens w:val="true"/>
        <w:spacing w:lineRule="auto" w:line="228"/>
        <w:jc w:val="both"/>
        <w:rPr>
          <w:spacing w:val="-2"/>
          <w:kern w:val="2"/>
          <w:sz w:val="22"/>
        </w:rPr>
      </w:pPr>
      <w:r>
        <w:rPr>
          <w:spacing w:val="-2"/>
          <w:kern w:val="2"/>
          <w:sz w:val="22"/>
        </w:rPr>
      </w:r>
    </w:p>
    <w:p>
      <w:pPr>
        <w:pStyle w:val="Normal"/>
        <w:tabs>
          <w:tab w:val="left" w:pos="720" w:leader="none"/>
          <w:tab w:val="left" w:pos="1469" w:leader="none"/>
          <w:tab w:val="left" w:pos="5098" w:leader="none"/>
          <w:tab w:val="left" w:pos="5530" w:leader="none"/>
        </w:tabs>
        <w:suppressAutoHyphens w:val="true"/>
        <w:spacing w:lineRule="auto" w:line="228"/>
        <w:jc w:val="both"/>
        <w:rPr>
          <w:spacing w:val="-2"/>
          <w:kern w:val="2"/>
          <w:sz w:val="22"/>
        </w:rPr>
      </w:pPr>
      <w:r>
        <w:rPr>
          <w:spacing w:val="-2"/>
          <w:kern w:val="2"/>
          <w:sz w:val="22"/>
        </w:rPr>
      </w:r>
    </w:p>
    <w:p>
      <w:pPr>
        <w:pStyle w:val="Normal"/>
        <w:tabs>
          <w:tab w:val="left" w:pos="720" w:leader="none"/>
          <w:tab w:val="left" w:pos="1469" w:leader="none"/>
          <w:tab w:val="left" w:pos="5098" w:leader="none"/>
          <w:tab w:val="left" w:pos="5530" w:leader="none"/>
        </w:tabs>
        <w:suppressAutoHyphens w:val="true"/>
        <w:spacing w:lineRule="auto" w:line="228"/>
        <w:jc w:val="both"/>
        <w:rPr>
          <w:spacing w:val="-2"/>
          <w:kern w:val="2"/>
          <w:sz w:val="22"/>
        </w:rPr>
      </w:pPr>
      <w:r>
        <w:rPr>
          <w:spacing w:val="-2"/>
          <w:kern w:val="2"/>
          <w:sz w:val="22"/>
        </w:rPr>
      </w:r>
    </w:p>
    <w:p>
      <w:pPr>
        <w:pStyle w:val="Normal"/>
        <w:tabs>
          <w:tab w:val="left" w:pos="720" w:leader="none"/>
          <w:tab w:val="left" w:pos="1469" w:leader="none"/>
          <w:tab w:val="left" w:pos="5040" w:leader="none"/>
          <w:tab w:val="left" w:pos="5530" w:leader="none"/>
        </w:tabs>
        <w:suppressAutoHyphens w:val="true"/>
        <w:spacing w:lineRule="auto" w:line="228"/>
        <w:jc w:val="both"/>
        <w:rPr>
          <w:spacing w:val="-2"/>
          <w:kern w:val="2"/>
          <w:sz w:val="22"/>
        </w:rPr>
      </w:pPr>
      <w:r>
        <w:rPr>
          <w:spacing w:val="-2"/>
          <w:kern w:val="2"/>
          <w:sz w:val="22"/>
        </w:rPr>
        <w:tab/>
        <w:tab/>
        <w:tab/>
        <w:t>EOTT ENERGY PARTNERS, L.P.</w:t>
      </w:r>
    </w:p>
    <w:p>
      <w:pPr>
        <w:pStyle w:val="Normal"/>
        <w:tabs>
          <w:tab w:val="left" w:pos="720" w:leader="none"/>
          <w:tab w:val="left" w:pos="1469" w:leader="none"/>
          <w:tab w:val="left" w:pos="5040" w:leader="none"/>
          <w:tab w:val="left" w:pos="5530" w:leader="none"/>
        </w:tabs>
        <w:suppressAutoHyphens w:val="true"/>
        <w:spacing w:lineRule="auto" w:line="228"/>
        <w:jc w:val="both"/>
        <w:rPr>
          <w:spacing w:val="-2"/>
          <w:kern w:val="2"/>
          <w:sz w:val="22"/>
        </w:rPr>
      </w:pPr>
      <w:r>
        <w:rPr>
          <w:spacing w:val="-2"/>
          <w:kern w:val="2"/>
          <w:sz w:val="22"/>
        </w:rPr>
        <w:tab/>
        <w:tab/>
        <w:tab/>
        <w:t>(A Delaware Limited Partnership)</w:t>
      </w:r>
    </w:p>
    <w:p>
      <w:pPr>
        <w:pStyle w:val="Normal"/>
        <w:tabs>
          <w:tab w:val="left" w:pos="720" w:leader="none"/>
          <w:tab w:val="left" w:pos="1469" w:leader="none"/>
          <w:tab w:val="left" w:pos="5040" w:leader="none"/>
          <w:tab w:val="left" w:pos="5530" w:leader="none"/>
        </w:tabs>
        <w:suppressAutoHyphens w:val="true"/>
        <w:spacing w:lineRule="auto" w:line="228"/>
        <w:jc w:val="both"/>
        <w:rPr>
          <w:spacing w:val="-2"/>
          <w:kern w:val="2"/>
          <w:sz w:val="22"/>
        </w:rPr>
      </w:pPr>
      <w:r>
        <w:rPr>
          <w:spacing w:val="-2"/>
          <w:kern w:val="2"/>
          <w:sz w:val="22"/>
        </w:rPr>
      </w:r>
    </w:p>
    <w:p>
      <w:pPr>
        <w:pStyle w:val="Normal"/>
        <w:tabs>
          <w:tab w:val="left" w:pos="720" w:leader="none"/>
          <w:tab w:val="left" w:pos="1469" w:leader="none"/>
          <w:tab w:val="left" w:pos="5040" w:leader="none"/>
          <w:tab w:val="left" w:pos="5530" w:leader="none"/>
        </w:tabs>
        <w:suppressAutoHyphens w:val="true"/>
        <w:spacing w:lineRule="auto" w:line="228"/>
        <w:jc w:val="both"/>
        <w:rPr>
          <w:spacing w:val="-2"/>
          <w:kern w:val="2"/>
          <w:sz w:val="22"/>
        </w:rPr>
      </w:pPr>
      <w:r>
        <w:rPr>
          <w:spacing w:val="-2"/>
          <w:kern w:val="2"/>
          <w:sz w:val="22"/>
        </w:rPr>
        <w:t xml:space="preserve">Date:  May 14, 2001 </w:t>
        <w:tab/>
        <w:t>By:</w:t>
        <w:tab/>
        <w:t>EOTT ENERGY CORP. as</w:t>
      </w:r>
    </w:p>
    <w:p>
      <w:pPr>
        <w:pStyle w:val="Normal"/>
        <w:tabs>
          <w:tab w:val="left" w:pos="720" w:leader="none"/>
          <w:tab w:val="left" w:pos="1469" w:leader="none"/>
          <w:tab w:val="left" w:pos="5040" w:leader="none"/>
          <w:tab w:val="left" w:pos="5530" w:leader="none"/>
        </w:tabs>
        <w:suppressAutoHyphens w:val="true"/>
        <w:spacing w:lineRule="auto" w:line="228"/>
        <w:jc w:val="both"/>
        <w:rPr>
          <w:spacing w:val="-2"/>
          <w:kern w:val="2"/>
          <w:sz w:val="22"/>
        </w:rPr>
      </w:pPr>
      <w:r>
        <w:rPr>
          <w:spacing w:val="-2"/>
          <w:kern w:val="2"/>
          <w:sz w:val="22"/>
        </w:rPr>
        <w:tab/>
        <w:tab/>
        <w:tab/>
        <w:tab/>
        <w:t>General Partner</w:t>
      </w:r>
    </w:p>
    <w:p>
      <w:pPr>
        <w:pStyle w:val="Normal"/>
        <w:tabs>
          <w:tab w:val="left" w:pos="720" w:leader="none"/>
          <w:tab w:val="left" w:pos="1469" w:leader="none"/>
          <w:tab w:val="left" w:pos="5040" w:leader="none"/>
          <w:tab w:val="left" w:pos="5530" w:leader="none"/>
        </w:tabs>
        <w:suppressAutoHyphens w:val="true"/>
        <w:spacing w:lineRule="auto" w:line="228"/>
        <w:jc w:val="both"/>
        <w:rPr>
          <w:spacing w:val="-2"/>
          <w:kern w:val="2"/>
          <w:sz w:val="22"/>
        </w:rPr>
      </w:pPr>
      <w:r>
        <w:rPr>
          <w:spacing w:val="-2"/>
          <w:kern w:val="2"/>
          <w:sz w:val="22"/>
        </w:rPr>
      </w:r>
    </w:p>
    <w:p>
      <w:pPr>
        <w:pStyle w:val="Normal"/>
        <w:tabs>
          <w:tab w:val="left" w:pos="720" w:leader="none"/>
          <w:tab w:val="left" w:pos="1469" w:leader="none"/>
          <w:tab w:val="left" w:pos="5040" w:leader="none"/>
          <w:tab w:val="left" w:pos="5530" w:leader="none"/>
        </w:tabs>
        <w:suppressAutoHyphens w:val="true"/>
        <w:spacing w:lineRule="auto" w:line="228"/>
        <w:jc w:val="both"/>
        <w:rPr>
          <w:spacing w:val="-2"/>
          <w:kern w:val="2"/>
          <w:sz w:val="22"/>
        </w:rPr>
      </w:pPr>
      <w:r>
        <w:rPr>
          <w:spacing w:val="-2"/>
          <w:kern w:val="2"/>
          <w:sz w:val="22"/>
        </w:rPr>
      </w:r>
    </w:p>
    <w:p>
      <w:pPr>
        <w:pStyle w:val="Normal"/>
        <w:tabs>
          <w:tab w:val="left" w:pos="720" w:leader="none"/>
          <w:tab w:val="left" w:pos="1469" w:leader="none"/>
          <w:tab w:val="left" w:pos="5040" w:leader="none"/>
          <w:tab w:val="center" w:pos="6840" w:leader="none"/>
          <w:tab w:val="right" w:pos="8640" w:leader="none"/>
        </w:tabs>
        <w:suppressAutoHyphens w:val="true"/>
        <w:spacing w:lineRule="auto" w:line="228"/>
        <w:jc w:val="both"/>
        <w:rPr>
          <w:spacing w:val="-2"/>
          <w:kern w:val="2"/>
          <w:sz w:val="22"/>
        </w:rPr>
      </w:pPr>
      <w:r>
        <w:rPr>
          <w:spacing w:val="-2"/>
          <w:kern w:val="2"/>
          <w:sz w:val="22"/>
        </w:rPr>
        <w:tab/>
        <w:tab/>
        <w:tab/>
      </w:r>
      <w:r>
        <w:rPr>
          <w:spacing w:val="-2"/>
          <w:kern w:val="2"/>
          <w:sz w:val="22"/>
          <w:u w:val="single"/>
        </w:rPr>
        <w:tab/>
        <w:t>/s/     LORI L. MADDOX</w:t>
        <w:tab/>
      </w:r>
    </w:p>
    <w:p>
      <w:pPr>
        <w:pStyle w:val="Normal"/>
        <w:tabs>
          <w:tab w:val="left" w:pos="720" w:leader="none"/>
          <w:tab w:val="left" w:pos="1469" w:leader="none"/>
          <w:tab w:val="left" w:pos="5040" w:leader="none"/>
          <w:tab w:val="left" w:pos="5530" w:leader="none"/>
        </w:tabs>
        <w:suppressAutoHyphens w:val="true"/>
        <w:spacing w:lineRule="auto" w:line="228" w:before="120" w:after="0"/>
        <w:jc w:val="both"/>
        <w:rPr>
          <w:spacing w:val="-2"/>
          <w:kern w:val="2"/>
          <w:sz w:val="22"/>
        </w:rPr>
      </w:pPr>
      <w:r>
        <w:rPr>
          <w:spacing w:val="-2"/>
          <w:kern w:val="2"/>
          <w:sz w:val="22"/>
        </w:rPr>
        <w:tab/>
        <w:tab/>
        <w:tab/>
        <w:t>Lori L. Maddox</w:t>
      </w:r>
    </w:p>
    <w:p>
      <w:pPr>
        <w:pStyle w:val="Normal"/>
        <w:tabs>
          <w:tab w:val="left" w:pos="720" w:leader="none"/>
          <w:tab w:val="left" w:pos="1469" w:leader="none"/>
          <w:tab w:val="left" w:pos="5040" w:leader="none"/>
          <w:tab w:val="left" w:pos="5530" w:leader="none"/>
        </w:tabs>
        <w:suppressAutoHyphens w:val="true"/>
        <w:spacing w:lineRule="auto" w:line="228"/>
        <w:jc w:val="both"/>
        <w:rPr>
          <w:spacing w:val="-2"/>
          <w:kern w:val="2"/>
          <w:sz w:val="22"/>
        </w:rPr>
      </w:pPr>
      <w:r>
        <w:rPr>
          <w:spacing w:val="-2"/>
          <w:kern w:val="2"/>
          <w:sz w:val="22"/>
        </w:rPr>
        <w:tab/>
        <w:tab/>
        <w:tab/>
        <w:t>Vice President and Controller</w:t>
      </w:r>
    </w:p>
    <w:p>
      <w:pPr>
        <w:pStyle w:val="Normal"/>
        <w:tabs>
          <w:tab w:val="left" w:pos="720" w:leader="none"/>
          <w:tab w:val="left" w:pos="1469" w:leader="none"/>
          <w:tab w:val="left" w:pos="5040" w:leader="none"/>
          <w:tab w:val="left" w:pos="5530" w:leader="none"/>
        </w:tabs>
        <w:suppressAutoHyphens w:val="true"/>
        <w:spacing w:lineRule="auto" w:line="228"/>
        <w:jc w:val="both"/>
        <w:rPr>
          <w:spacing w:val="-2"/>
          <w:kern w:val="2"/>
          <w:sz w:val="22"/>
        </w:rPr>
      </w:pPr>
      <w:r>
        <w:rPr>
          <w:spacing w:val="-2"/>
          <w:kern w:val="2"/>
          <w:sz w:val="22"/>
        </w:rPr>
        <w:tab/>
        <w:tab/>
        <w:tab/>
        <w:t>(Principal Accounting Officer)</w:t>
      </w:r>
    </w:p>
    <w:p>
      <w:pPr>
        <w:sectPr>
          <w:headerReference w:type="default" r:id="rId22"/>
          <w:headerReference w:type="first" r:id="rId23"/>
          <w:footerReference w:type="default" r:id="rId24"/>
          <w:footerReference w:type="first" r:id="rId25"/>
          <w:type w:val="nextPage"/>
          <w:pgSz w:w="12240" w:h="15840"/>
          <w:pgMar w:left="1440" w:right="1440" w:gutter="0" w:header="1080" w:top="1440" w:footer="1080" w:bottom="1440"/>
          <w:pgNumType w:fmt="decimal"/>
          <w:formProt w:val="false"/>
          <w:textDirection w:val="lrTb"/>
          <w:docGrid w:type="default" w:linePitch="360" w:charSpace="0"/>
        </w:sectPr>
        <w:pStyle w:val="Normal"/>
        <w:tabs>
          <w:tab w:val="left" w:pos="720" w:leader="none"/>
          <w:tab w:val="left" w:pos="1469" w:leader="none"/>
          <w:tab w:val="left" w:pos="5098" w:leader="none"/>
          <w:tab w:val="left" w:pos="5530" w:leader="none"/>
        </w:tabs>
        <w:suppressAutoHyphens w:val="true"/>
        <w:spacing w:lineRule="auto" w:line="228"/>
        <w:jc w:val="both"/>
        <w:rPr>
          <w:spacing w:val="-2"/>
          <w:kern w:val="2"/>
          <w:sz w:val="22"/>
        </w:rPr>
      </w:pPr>
      <w:r>
        <w:rPr>
          <w:spacing w:val="-2"/>
          <w:kern w:val="2"/>
          <w:sz w:val="22"/>
        </w:rPr>
      </w:r>
    </w:p>
    <w:p>
      <w:pPr>
        <w:pStyle w:val="Normal"/>
        <w:tabs>
          <w:tab w:val="clear" w:pos="720"/>
          <w:tab w:val="right" w:pos="5400" w:leader="none"/>
        </w:tabs>
        <w:suppressAutoHyphens w:val="true"/>
        <w:jc w:val="both"/>
        <w:rPr>
          <w:spacing w:val="-2"/>
          <w:kern w:val="2"/>
          <w:sz w:val="19"/>
        </w:rPr>
      </w:pPr>
      <w:r>
        <w:rPr>
          <w:spacing w:val="-2"/>
          <w:kern w:val="2"/>
          <w:sz w:val="19"/>
        </w:rPr>
      </w:r>
      <w:r>
        <w:br w:type="page"/>
      </w:r>
    </w:p>
    <w:p>
      <w:pPr>
        <w:pStyle w:val="Normal"/>
        <w:tabs>
          <w:tab w:val="clear" w:pos="720"/>
          <w:tab w:val="left" w:pos="630" w:leader="none"/>
          <w:tab w:val="left" w:pos="90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rPr>
          <w:sz w:val="22"/>
        </w:rPr>
      </w:pPr>
      <w:r>
        <w:rPr>
          <w:sz w:val="22"/>
        </w:rPr>
        <w:t>May 14, 2001</w:t>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t>Securities and Exchange Commission</w:t>
      </w:r>
    </w:p>
    <w:p>
      <w:pPr>
        <w:pStyle w:val="Normal"/>
        <w:tabs>
          <w:tab w:val="clear" w:pos="720"/>
          <w:tab w:val="left" w:pos="630" w:leader="none"/>
          <w:tab w:val="left" w:pos="900" w:leader="none"/>
          <w:tab w:val="left" w:pos="9360" w:leader="none"/>
        </w:tabs>
        <w:ind w:start="360" w:end="1440"/>
        <w:jc w:val="both"/>
        <w:rPr>
          <w:sz w:val="22"/>
        </w:rPr>
      </w:pPr>
      <w:r>
        <w:rPr>
          <w:sz w:val="22"/>
        </w:rPr>
        <w:t>450 Fifth Street, NW</w:t>
      </w:r>
    </w:p>
    <w:p>
      <w:pPr>
        <w:pStyle w:val="Normal"/>
        <w:tabs>
          <w:tab w:val="clear" w:pos="720"/>
          <w:tab w:val="left" w:pos="630" w:leader="none"/>
          <w:tab w:val="left" w:pos="900" w:leader="none"/>
          <w:tab w:val="left" w:pos="9360" w:leader="none"/>
        </w:tabs>
        <w:ind w:start="360" w:end="1440"/>
        <w:jc w:val="both"/>
        <w:rPr>
          <w:sz w:val="22"/>
        </w:rPr>
      </w:pPr>
      <w:r>
        <w:rPr>
          <w:sz w:val="22"/>
        </w:rPr>
        <w:t>Washington, D.C.  20549</w:t>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t>Gentlemen:</w:t>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tab/>
        <w:t>On behalf of EOTT Energy Partners, L.P., pursuant to Section 13 or 15(d) of the Securities Exchange Act of 1934 we are transmitting herewith the attached Form 10.</w:t>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tab/>
        <w:t>If any member of the staff has any questions regarding this Form 10 or desires further information or clarification, please call me at (713) 993-5209.</w:t>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t>Sincerely,</w:t>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t>/s/  Lori L. Maddox</w:t>
      </w:r>
    </w:p>
    <w:p>
      <w:pPr>
        <w:pStyle w:val="Normal"/>
        <w:tabs>
          <w:tab w:val="clear" w:pos="720"/>
          <w:tab w:val="left" w:pos="630" w:leader="none"/>
          <w:tab w:val="left" w:pos="900" w:leader="none"/>
          <w:tab w:val="left" w:pos="9360" w:leader="none"/>
        </w:tabs>
        <w:ind w:start="360" w:end="1440"/>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t>Lori L. Maddox</w:t>
      </w:r>
    </w:p>
    <w:p>
      <w:pPr>
        <w:pStyle w:val="Normal"/>
        <w:tabs>
          <w:tab w:val="clear" w:pos="720"/>
          <w:tab w:val="left" w:pos="630" w:leader="none"/>
          <w:tab w:val="left" w:pos="900" w:leader="none"/>
          <w:tab w:val="left" w:pos="9360" w:leader="none"/>
        </w:tabs>
        <w:ind w:start="360" w:end="1440"/>
        <w:jc w:val="both"/>
        <w:rPr>
          <w:sz w:val="22"/>
        </w:rPr>
      </w:pPr>
      <w:r>
        <w:rPr>
          <w:sz w:val="22"/>
        </w:rPr>
        <w:t>Vice President and Controller – Principal Accounting Officer</w:t>
      </w:r>
    </w:p>
    <w:p>
      <w:pPr>
        <w:pStyle w:val="Normal"/>
        <w:tabs>
          <w:tab w:val="clear" w:pos="720"/>
          <w:tab w:val="left" w:pos="630" w:leader="none"/>
          <w:tab w:val="left" w:pos="900" w:leader="none"/>
          <w:tab w:val="left" w:pos="9360" w:leader="none"/>
        </w:tabs>
        <w:ind w:start="360" w:end="1440"/>
        <w:jc w:val="both"/>
        <w:rPr>
          <w:sz w:val="22"/>
        </w:rPr>
      </w:pPr>
      <w:r>
        <w:rPr>
          <w:sz w:val="22"/>
        </w:rPr>
        <w:t>EOTT Energy Corp.</w:t>
      </w:r>
    </w:p>
    <w:p>
      <w:pPr>
        <w:pStyle w:val="Normal"/>
        <w:tabs>
          <w:tab w:val="clear" w:pos="720"/>
          <w:tab w:val="left" w:pos="630" w:leader="none"/>
          <w:tab w:val="left" w:pos="900" w:leader="none"/>
          <w:tab w:val="left" w:pos="6840" w:leader="dot"/>
          <w:tab w:val="left" w:pos="7020" w:leader="none"/>
          <w:tab w:val="decimal" w:pos="8100" w:leader="none"/>
          <w:tab w:val="left" w:pos="8280" w:leader="none"/>
          <w:tab w:val="left" w:pos="9360" w:leader="none"/>
        </w:tabs>
        <w:suppressAutoHyphens w:val="true"/>
        <w:ind w:start="360" w:end="1440"/>
        <w:jc w:val="both"/>
        <w:rPr>
          <w:spacing w:val="-2"/>
          <w:kern w:val="2"/>
          <w:sz w:val="22"/>
        </w:rPr>
      </w:pPr>
      <w:r>
        <w:rPr>
          <w:spacing w:val="-2"/>
          <w:kern w:val="2"/>
          <w:sz w:val="22"/>
        </w:rPr>
        <w:t>General Partner</w:t>
      </w:r>
    </w:p>
    <w:p>
      <w:pPr>
        <w:sectPr>
          <w:headerReference w:type="default" r:id="rId26"/>
          <w:headerReference w:type="first" r:id="rId27"/>
          <w:footerReference w:type="default" r:id="rId28"/>
          <w:footerReference w:type="first" r:id="rId29"/>
          <w:type w:val="nextPage"/>
          <w:pgSz w:w="12240" w:h="15840"/>
          <w:pgMar w:left="720" w:right="720" w:gutter="0" w:header="720" w:top="776" w:footer="720" w:bottom="776"/>
          <w:pgNumType w:fmt="decimal"/>
          <w:formProt w:val="false"/>
          <w:titlePg/>
          <w:textDirection w:val="lrTb"/>
          <w:docGrid w:type="default" w:linePitch="360" w:charSpace="0"/>
        </w:sectPr>
        <w:pStyle w:val="Normal"/>
        <w:tabs>
          <w:tab w:val="clear" w:pos="720"/>
          <w:tab w:val="left" w:pos="630" w:leader="none"/>
          <w:tab w:val="left" w:pos="900" w:leader="none"/>
          <w:tab w:val="left" w:pos="9360" w:leader="none"/>
        </w:tabs>
        <w:ind w:start="360" w:end="1440"/>
        <w:jc w:val="both"/>
        <w:rPr>
          <w:spacing w:val="-2"/>
          <w:kern w:val="2"/>
          <w:sz w:val="19"/>
        </w:rPr>
      </w:pPr>
      <w:r>
        <w:rPr>
          <w:spacing w:val="-2"/>
          <w:kern w:val="2"/>
          <w:sz w:val="19"/>
        </w:rPr>
      </w:r>
    </w:p>
    <w:p>
      <w:pPr>
        <w:pStyle w:val="Normal"/>
        <w:tabs>
          <w:tab w:val="clear" w:pos="720"/>
          <w:tab w:val="left" w:pos="630" w:leader="none"/>
          <w:tab w:val="left" w:pos="900" w:leader="none"/>
          <w:tab w:val="left" w:pos="9360" w:leader="none"/>
        </w:tabs>
        <w:ind w:start="360" w:end="1440"/>
        <w:jc w:val="both"/>
        <w:rPr>
          <w:sz w:val="19"/>
        </w:rPr>
      </w:pPr>
      <w:r>
        <w:rPr>
          <w:sz w:val="19"/>
        </w:rPr>
      </w:r>
    </w:p>
    <w:p>
      <w:pPr>
        <w:pStyle w:val="Normal"/>
        <w:tabs>
          <w:tab w:val="clear" w:pos="720"/>
          <w:tab w:val="left" w:pos="630" w:leader="none"/>
          <w:tab w:val="left" w:pos="900" w:leader="none"/>
          <w:tab w:val="left" w:pos="9360" w:leader="none"/>
        </w:tabs>
        <w:ind w:start="360" w:end="1440"/>
        <w:jc w:val="both"/>
        <w:rPr>
          <w:sz w:val="19"/>
        </w:rPr>
      </w:pPr>
      <w:r>
        <w:rPr>
          <w:sz w:val="19"/>
        </w:rPr>
      </w:r>
    </w:p>
    <w:p>
      <w:pPr>
        <w:pStyle w:val="Normal"/>
        <w:tabs>
          <w:tab w:val="clear" w:pos="720"/>
          <w:tab w:val="left" w:pos="630" w:leader="none"/>
          <w:tab w:val="left" w:pos="900" w:leader="none"/>
          <w:tab w:val="left" w:pos="9360" w:leader="none"/>
        </w:tabs>
        <w:ind w:start="360" w:end="1440"/>
        <w:jc w:val="both"/>
        <w:rPr>
          <w:sz w:val="19"/>
        </w:rPr>
      </w:pPr>
      <w:r>
        <w:rPr>
          <w:sz w:val="19"/>
        </w:rPr>
      </w:r>
    </w:p>
    <w:p>
      <w:pPr>
        <w:pStyle w:val="Normal"/>
        <w:tabs>
          <w:tab w:val="clear" w:pos="720"/>
          <w:tab w:val="left" w:pos="630" w:leader="none"/>
          <w:tab w:val="left" w:pos="900" w:leader="none"/>
          <w:tab w:val="left" w:pos="9360" w:leader="none"/>
        </w:tabs>
        <w:ind w:start="360" w:end="1440"/>
        <w:jc w:val="both"/>
        <w:rPr>
          <w:sz w:val="19"/>
        </w:rPr>
      </w:pPr>
      <w:r>
        <w:rPr>
          <w:sz w:val="19"/>
        </w:rPr>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rPr>
          <w:sz w:val="22"/>
        </w:rPr>
      </w:pPr>
      <w:r>
        <w:rPr>
          <w:sz w:val="22"/>
        </w:rPr>
        <w:t>May 14, 2001</w:t>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t>New York Stock Exchange</w:t>
      </w:r>
    </w:p>
    <w:p>
      <w:pPr>
        <w:pStyle w:val="Normal"/>
        <w:tabs>
          <w:tab w:val="clear" w:pos="720"/>
          <w:tab w:val="left" w:pos="630" w:leader="none"/>
          <w:tab w:val="left" w:pos="900" w:leader="none"/>
          <w:tab w:val="left" w:pos="9360" w:leader="none"/>
        </w:tabs>
        <w:ind w:start="360" w:end="1440"/>
        <w:jc w:val="both"/>
        <w:rPr>
          <w:sz w:val="22"/>
        </w:rPr>
      </w:pPr>
      <w:r>
        <w:rPr>
          <w:sz w:val="22"/>
        </w:rPr>
        <w:t>Dept. of Stock List</w:t>
      </w:r>
    </w:p>
    <w:p>
      <w:pPr>
        <w:pStyle w:val="Normal"/>
        <w:tabs>
          <w:tab w:val="clear" w:pos="720"/>
          <w:tab w:val="left" w:pos="630" w:leader="none"/>
          <w:tab w:val="left" w:pos="900" w:leader="none"/>
          <w:tab w:val="left" w:pos="9360" w:leader="none"/>
        </w:tabs>
        <w:ind w:start="360" w:end="1440"/>
        <w:jc w:val="both"/>
        <w:rPr>
          <w:sz w:val="22"/>
        </w:rPr>
      </w:pPr>
      <w:r>
        <w:rPr>
          <w:sz w:val="22"/>
        </w:rPr>
        <w:t>20 Broad Street</w:t>
      </w:r>
    </w:p>
    <w:p>
      <w:pPr>
        <w:pStyle w:val="Normal"/>
        <w:tabs>
          <w:tab w:val="clear" w:pos="720"/>
          <w:tab w:val="left" w:pos="630" w:leader="none"/>
          <w:tab w:val="left" w:pos="900" w:leader="none"/>
          <w:tab w:val="left" w:pos="9360" w:leader="none"/>
        </w:tabs>
        <w:ind w:start="360" w:end="1440"/>
        <w:jc w:val="both"/>
        <w:rPr>
          <w:sz w:val="22"/>
        </w:rPr>
      </w:pPr>
      <w:r>
        <w:rPr>
          <w:sz w:val="22"/>
        </w:rPr>
        <w:t>New York, NY  10005</w:t>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t>Gentlemen:</w:t>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BodyText3"/>
        <w:tabs>
          <w:tab w:val="clear" w:pos="270"/>
          <w:tab w:val="clear" w:pos="540"/>
          <w:tab w:val="left" w:pos="630" w:leader="none"/>
          <w:tab w:val="left" w:pos="900" w:leader="none"/>
        </w:tabs>
        <w:ind w:start="360" w:end="1440"/>
        <w:rPr/>
      </w:pPr>
      <w:r>
        <w:rPr/>
        <w:tab/>
        <w:t>On behalf of EOTT Energy Partners, L.P., pursuant to Section 13 or 15(d) of the Securities Exchange Act of 1934 we are transmitting herewith the attached Form 10–Q / A.</w:t>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tab/>
        <w:t>If you have any questions regarding this Form 10–Q / A or desire further information or clarification, please call me at (713) 993-5209.</w:t>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s>
        <w:ind w:start="360" w:end="1440"/>
        <w:jc w:val="both"/>
        <w:rPr>
          <w:sz w:val="22"/>
        </w:rPr>
      </w:pPr>
      <w:r>
        <w:rPr>
          <w:sz w:val="22"/>
        </w:rPr>
        <w:t>Sincerely,</w:t>
      </w:r>
    </w:p>
    <w:p>
      <w:pPr>
        <w:pStyle w:val="Normal"/>
        <w:tabs>
          <w:tab w:val="clear" w:pos="720"/>
          <w:tab w:val="left" w:pos="630" w:leader="none"/>
          <w:tab w:val="left" w:pos="900" w:leader="none"/>
          <w:tab w:val="left" w:pos="9360" w:leader="none"/>
        </w:tabs>
        <w:ind w:start="360" w:end="1440"/>
        <w:jc w:val="both"/>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t>/s/  Lori L. Maddox</w:t>
      </w:r>
    </w:p>
    <w:p>
      <w:pPr>
        <w:pStyle w:val="Normal"/>
        <w:tabs>
          <w:tab w:val="clear" w:pos="720"/>
          <w:tab w:val="left" w:pos="630" w:leader="none"/>
          <w:tab w:val="left" w:pos="900" w:leader="none"/>
          <w:tab w:val="left" w:pos="9360" w:leader="none"/>
        </w:tabs>
        <w:ind w:start="360" w:end="1440"/>
        <w:rPr>
          <w:sz w:val="22"/>
        </w:rPr>
      </w:pPr>
      <w:r>
        <w:rPr>
          <w:sz w:val="22"/>
        </w:rPr>
      </w:r>
    </w:p>
    <w:p>
      <w:pPr>
        <w:pStyle w:val="Normal"/>
        <w:tabs>
          <w:tab w:val="clear" w:pos="720"/>
          <w:tab w:val="left" w:pos="630" w:leader="none"/>
          <w:tab w:val="left" w:pos="900" w:leader="none"/>
          <w:tab w:val="left" w:pos="9360" w:leader="none"/>
        </w:tabs>
        <w:ind w:start="360" w:end="1440"/>
        <w:jc w:val="both"/>
        <w:rPr>
          <w:sz w:val="22"/>
        </w:rPr>
      </w:pPr>
      <w:r>
        <w:rPr>
          <w:sz w:val="22"/>
        </w:rPr>
        <w:t xml:space="preserve">Lori L. Maddox  </w:t>
      </w:r>
    </w:p>
    <w:p>
      <w:pPr>
        <w:pStyle w:val="Normal"/>
        <w:tabs>
          <w:tab w:val="clear" w:pos="720"/>
          <w:tab w:val="left" w:pos="630" w:leader="none"/>
          <w:tab w:val="left" w:pos="900" w:leader="none"/>
          <w:tab w:val="left" w:pos="9360" w:leader="none"/>
        </w:tabs>
        <w:ind w:start="360" w:end="1440"/>
        <w:jc w:val="both"/>
        <w:rPr>
          <w:sz w:val="22"/>
        </w:rPr>
      </w:pPr>
      <w:r>
        <w:rPr>
          <w:sz w:val="22"/>
        </w:rPr>
        <w:t>Vice President and Controller – Principal Accounting Officer</w:t>
      </w:r>
    </w:p>
    <w:p>
      <w:pPr>
        <w:pStyle w:val="Normal"/>
        <w:tabs>
          <w:tab w:val="clear" w:pos="720"/>
          <w:tab w:val="left" w:pos="630" w:leader="none"/>
          <w:tab w:val="left" w:pos="900" w:leader="none"/>
          <w:tab w:val="left" w:pos="9360" w:leader="none"/>
        </w:tabs>
        <w:ind w:start="360" w:end="1440"/>
        <w:jc w:val="both"/>
        <w:rPr>
          <w:sz w:val="22"/>
        </w:rPr>
      </w:pPr>
      <w:r>
        <w:rPr>
          <w:sz w:val="22"/>
        </w:rPr>
        <w:t>EOTT Energy Corp.</w:t>
      </w:r>
    </w:p>
    <w:p>
      <w:pPr>
        <w:pStyle w:val="Normal"/>
        <w:tabs>
          <w:tab w:val="clear" w:pos="720"/>
          <w:tab w:val="left" w:pos="630" w:leader="none"/>
          <w:tab w:val="left" w:pos="900" w:leader="none"/>
          <w:tab w:val="left" w:pos="6840" w:leader="dot"/>
          <w:tab w:val="left" w:pos="7020" w:leader="none"/>
          <w:tab w:val="decimal" w:pos="8100" w:leader="none"/>
          <w:tab w:val="left" w:pos="8280" w:leader="none"/>
          <w:tab w:val="left" w:pos="9360" w:leader="none"/>
        </w:tabs>
        <w:suppressAutoHyphens w:val="true"/>
        <w:ind w:start="360" w:end="1440"/>
        <w:jc w:val="both"/>
        <w:rPr>
          <w:spacing w:val="-2"/>
          <w:kern w:val="2"/>
          <w:sz w:val="22"/>
        </w:rPr>
      </w:pPr>
      <w:r>
        <w:rPr>
          <w:spacing w:val="-2"/>
          <w:kern w:val="2"/>
          <w:sz w:val="22"/>
        </w:rPr>
        <w:t>General Partner</w:t>
      </w:r>
    </w:p>
    <w:p>
      <w:pPr>
        <w:pStyle w:val="Normal"/>
        <w:rPr>
          <w:spacing w:val="-2"/>
          <w:kern w:val="2"/>
          <w:sz w:val="22"/>
        </w:rPr>
      </w:pPr>
      <w:r>
        <w:rPr>
          <w:spacing w:val="-2"/>
          <w:kern w:val="2"/>
          <w:sz w:val="22"/>
        </w:rPr>
      </w:r>
    </w:p>
    <w:sectPr>
      <w:headerReference w:type="default" r:id="rId30"/>
      <w:headerReference w:type="first" r:id="rId31"/>
      <w:footerReference w:type="default" r:id="rId32"/>
      <w:footerReference w:type="first" r:id="rId3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4"/>
      </w:rPr>
    </w:pPr>
    <w:r>
      <w:rPr>
        <w:sz w:val="24"/>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27635" cy="146685"/>
              <wp:effectExtent l="0" t="0" r="0" b="0"/>
              <wp:wrapSquare wrapText="bothSides"/>
              <wp:docPr id="6"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4"/>
      </w:rPr>
    </w:pPr>
    <w:r>
      <w:rPr>
        <w:sz w:val="24"/>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605" cy="146685"/>
              <wp:effectExtent l="0" t="0" r="0" b="0"/>
              <wp:wrapSquare wrapText="bothSides"/>
              <wp:docPr id="7" name="Frame7"/>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69.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4"/>
      </w:rPr>
    </w:pPr>
    <w:r>
      <w:rPr>
        <w:sz w:val="24"/>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4605" cy="146685"/>
              <wp:effectExtent l="0" t="0" r="0" b="0"/>
              <wp:wrapSquare wrapText="bothSides"/>
              <wp:docPr id="8" name="Frame8"/>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4"/>
      </w:rPr>
    </w:pPr>
    <w:r>
      <w:rPr>
        <w:sz w:val="24"/>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4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4"/>
      </w:rPr>
    </w:pPr>
    <w:r>
      <w:rPr>
        <w:sz w:val="24"/>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2763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4"/>
      </w:rPr>
    </w:pPr>
    <w:r>
      <w:rPr>
        <w:sz w:val="24"/>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127635"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4"/>
      </w:rPr>
    </w:pPr>
    <w:r>
      <w:rPr>
        <w:sz w:val="24"/>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27635" cy="146685"/>
              <wp:effectExtent l="0" t="0" r="0" b="0"/>
              <wp:wrapSquare wrapText="bothSides"/>
              <wp:docPr id="5" name="Frame5"/>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EOTT ENERGY PARTNERS, L.P.</w:t>
    </w:r>
  </w:p>
  <w:p>
    <w:pPr>
      <w:pStyle w:val="Header"/>
      <w:jc w:val="center"/>
      <w:rPr>
        <w:b/>
      </w:rPr>
    </w:pPr>
    <w:r>
      <w:rPr>
        <w:b/>
      </w:rPr>
      <w:t>NOTES TO CONDENSED CONSOLIDATED FINANCIAL STATEMENTS</w:t>
    </w:r>
  </w:p>
  <w:p>
    <w:pPr>
      <w:pStyle w:val="Header"/>
      <w:rPr>
        <w:b/>
      </w:rPr>
    </w:pPr>
    <w:r>
      <w:rPr>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MANAGEMENT'S DISCUSSION AND ANALYSIS OF</w:t>
    </w:r>
  </w:p>
  <w:p>
    <w:pPr>
      <w:pStyle w:val="Header"/>
      <w:jc w:val="center"/>
      <w:rPr>
        <w:b/>
      </w:rPr>
    </w:pPr>
    <w:r>
      <w:rPr>
        <w:b/>
      </w:rPr>
      <w:t>FINANCIAL CONDITION AND RESULTS OF OPERATIONS</w:t>
    </w:r>
  </w:p>
  <w:p>
    <w:pPr>
      <w:pStyle w:val="Header"/>
      <w:jc w:val="center"/>
      <w:rPr>
        <w:b/>
      </w:rPr>
    </w:pPr>
    <w:r>
      <w:rPr>
        <w:b/>
      </w:rPr>
      <w:t>EOTT ENERGY PARTNERS, L.P.</w:t>
    </w:r>
  </w:p>
  <w:p>
    <w:pPr>
      <w:pStyle w:val="Header"/>
      <w:rPr>
        <w:b/>
      </w:rPr>
    </w:pPr>
    <w:r>
      <w:rPr>
        <w:b/>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ITEM 3.  QUANTITATIVE AND QUALITATIVE DISCLOSURES ABOUT MARKET RISK</w:t>
    </w:r>
  </w:p>
  <w:p>
    <w:pPr>
      <w:pStyle w:val="Header"/>
      <w:jc w:val="center"/>
      <w:rPr>
        <w:b/>
      </w:rPr>
    </w:pPr>
    <w:r>
      <w:rPr>
        <w:b/>
      </w:rPr>
      <w:t>EOTT ENERGY PARTNERS, L.P.</w:t>
    </w:r>
  </w:p>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lowerLetter"/>
      <w:lvlText w:val="(%1)"/>
      <w:lvlJc w:val="start"/>
      <w:pPr>
        <w:tabs>
          <w:tab w:val="num" w:pos="360"/>
        </w:tabs>
        <w:ind w:start="360" w:hanging="360"/>
      </w:pPr>
      <w:rPr/>
    </w:lvl>
  </w:abstractNum>
  <w:abstractNum w:abstractNumId="4">
    <w:lvl w:ilvl="0">
      <w:start w:val="1"/>
      <w:numFmt w:val="lowerLetter"/>
      <w:lvlText w:val="(%1)"/>
      <w:lvlJc w:val="start"/>
      <w:pPr>
        <w:tabs>
          <w:tab w:val="num" w:pos="720"/>
        </w:tabs>
        <w:ind w:start="720" w:hanging="360"/>
      </w:pPr>
      <w:rPr/>
    </w:lvl>
  </w:abstractNum>
  <w:abstractNum w:abstractNumId="5">
    <w:lvl w:ilvl="0">
      <w:start w:val="1"/>
      <w:numFmt w:val="decimal"/>
      <w:lvlText w:val="(%1)"/>
      <w:lvlJc w:val="start"/>
      <w:pPr>
        <w:tabs>
          <w:tab w:val="num" w:pos="900"/>
        </w:tabs>
        <w:ind w:start="90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4680" w:leader="none"/>
        <w:tab w:val="center" w:pos="5220" w:leader="none"/>
        <w:tab w:val="decimal" w:pos="5760" w:leader="none"/>
        <w:tab w:val="left" w:pos="6120" w:leader="none"/>
        <w:tab w:val="center" w:pos="6660" w:leader="none"/>
        <w:tab w:val="decimal" w:pos="7200" w:leader="none"/>
        <w:tab w:val="left" w:pos="7560" w:leader="none"/>
        <w:tab w:val="center" w:pos="8100" w:leader="none"/>
        <w:tab w:val="decimal" w:pos="8640" w:leader="none"/>
        <w:tab w:val="left" w:pos="9000" w:leader="none"/>
        <w:tab w:val="center" w:pos="9450" w:leader="none"/>
        <w:tab w:val="decimal" w:pos="9900" w:leader="none"/>
      </w:tabs>
      <w:suppressAutoHyphens w:val="true"/>
      <w:spacing w:lineRule="auto" w:line="216"/>
      <w:jc w:val="both"/>
      <w:outlineLvl w:val="0"/>
    </w:pPr>
    <w:rPr>
      <w:b/>
      <w:spacing w:val="-2"/>
      <w:kern w:val="2"/>
      <w:sz w:val="17"/>
      <w:lang w:eastAsia="en-US"/>
    </w:rPr>
  </w:style>
  <w:style w:type="paragraph" w:styleId="Heading2">
    <w:name w:val="heading 2"/>
    <w:basedOn w:val="Normal"/>
    <w:next w:val="Normal"/>
    <w:qFormat/>
    <w:pPr>
      <w:keepNext w:val="true"/>
      <w:numPr>
        <w:ilvl w:val="1"/>
        <w:numId w:val="1"/>
      </w:numPr>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auto" w:line="300"/>
      <w:jc w:val="both"/>
      <w:outlineLvl w:val="1"/>
    </w:pPr>
    <w:rPr>
      <w:b/>
      <w:spacing w:val="-2"/>
      <w:kern w:val="2"/>
      <w:sz w:val="21"/>
      <w:lang w:eastAsia="en-US"/>
    </w:rPr>
  </w:style>
  <w:style w:type="paragraph" w:styleId="Heading3">
    <w:name w:val="heading 3"/>
    <w:basedOn w:val="Normal"/>
    <w:next w:val="Normal"/>
    <w:qFormat/>
    <w:pPr>
      <w:keepNext w:val="true"/>
      <w:numPr>
        <w:ilvl w:val="2"/>
        <w:numId w:val="1"/>
      </w:numPr>
      <w:tabs>
        <w:tab w:val="clear" w:pos="720"/>
        <w:tab w:val="left" w:pos="360" w:leader="none"/>
        <w:tab w:val="left" w:pos="4320" w:leader="none"/>
      </w:tabs>
      <w:suppressAutoHyphens w:val="true"/>
      <w:jc w:val="center"/>
      <w:outlineLvl w:val="2"/>
    </w:pPr>
    <w:rPr>
      <w:b/>
      <w:spacing w:val="-2"/>
      <w:kern w:val="2"/>
      <w:sz w:val="16"/>
      <w:lang w:eastAsia="en-US"/>
    </w:rPr>
  </w:style>
  <w:style w:type="paragraph" w:styleId="Heading4">
    <w:name w:val="heading 4"/>
    <w:basedOn w:val="Normal"/>
    <w:next w:val="Normal"/>
    <w:qFormat/>
    <w:pPr>
      <w:keepNext w:val="true"/>
      <w:numPr>
        <w:ilvl w:val="3"/>
        <w:numId w:val="1"/>
      </w:numPr>
      <w:tabs>
        <w:tab w:val="left" w:pos="360" w:leader="none"/>
        <w:tab w:val="left" w:pos="720" w:leader="none"/>
        <w:tab w:val="left" w:pos="3960" w:leader="none"/>
        <w:tab w:val="center" w:pos="4410" w:leader="none"/>
        <w:tab w:val="center" w:pos="5490" w:leader="none"/>
        <w:tab w:val="decimal" w:pos="5940" w:leader="none"/>
        <w:tab w:val="left" w:pos="6120" w:leader="none"/>
        <w:tab w:val="center" w:pos="6570" w:leader="none"/>
        <w:tab w:val="right" w:pos="7020" w:leader="none"/>
        <w:tab w:val="left" w:pos="7200" w:leader="none"/>
        <w:tab w:val="center" w:pos="7650" w:leader="none"/>
        <w:tab w:val="right" w:pos="8100" w:leader="none"/>
        <w:tab w:val="left" w:pos="8280" w:leader="none"/>
        <w:tab w:val="center" w:pos="8730" w:leader="none"/>
        <w:tab w:val="right" w:pos="9158" w:leader="none"/>
      </w:tabs>
      <w:suppressAutoHyphens w:val="true"/>
      <w:spacing w:lineRule="auto" w:line="216"/>
      <w:jc w:val="both"/>
      <w:outlineLvl w:val="3"/>
    </w:pPr>
    <w:rPr>
      <w:b/>
      <w:spacing w:val="-2"/>
      <w:kern w:val="2"/>
      <w:sz w:val="16"/>
      <w:lang w:eastAsia="en-US"/>
    </w:rPr>
  </w:style>
  <w:style w:type="paragraph" w:styleId="Heading5">
    <w:name w:val="heading 5"/>
    <w:basedOn w:val="Normal"/>
    <w:next w:val="Normal"/>
    <w:qFormat/>
    <w:pPr>
      <w:keepNext w:val="true"/>
      <w:numPr>
        <w:ilvl w:val="4"/>
        <w:numId w:val="1"/>
      </w:numPr>
      <w:tabs>
        <w:tab w:val="clear" w:pos="720"/>
        <w:tab w:val="left" w:pos="-1440" w:leader="none"/>
        <w:tab w:val="left" w:pos="-720" w:leader="none"/>
        <w:tab w:val="left" w:pos="180" w:leader="none"/>
        <w:tab w:val="left" w:pos="3780" w:leader="dot"/>
        <w:tab w:val="left" w:pos="3960" w:leader="none"/>
        <w:tab w:val="decimal" w:pos="4860" w:leader="none"/>
        <w:tab w:val="left" w:pos="5220" w:leader="none"/>
        <w:tab w:val="decimal" w:pos="6120" w:leader="none"/>
        <w:tab w:val="left" w:pos="6480" w:leader="none"/>
        <w:tab w:val="decimal" w:pos="7380" w:leader="none"/>
        <w:tab w:val="left" w:pos="7740" w:leader="none"/>
        <w:tab w:val="decimal" w:pos="8640" w:leader="none"/>
      </w:tabs>
      <w:suppressAutoHyphens w:val="true"/>
      <w:spacing w:before="120" w:after="0"/>
      <w:jc w:val="both"/>
      <w:outlineLvl w:val="4"/>
    </w:pPr>
    <w:rPr>
      <w:b/>
      <w:spacing w:val="-1"/>
      <w:sz w:val="18"/>
      <w:lang w:eastAsia="en-US"/>
    </w:rPr>
  </w:style>
  <w:style w:type="paragraph" w:styleId="Heading6">
    <w:name w:val="heading 6"/>
    <w:basedOn w:val="Normal"/>
    <w:next w:val="Normal"/>
    <w:qFormat/>
    <w:pPr>
      <w:keepNext w:val="true"/>
      <w:numPr>
        <w:ilvl w:val="5"/>
        <w:numId w:val="1"/>
      </w:numPr>
      <w:tabs>
        <w:tab w:val="clear" w:pos="720"/>
        <w:tab w:val="left" w:pos="-1440" w:leader="none"/>
        <w:tab w:val="left" w:pos="-720" w:leader="none"/>
        <w:tab w:val="left" w:pos="0" w:leader="none"/>
        <w:tab w:val="left" w:pos="360" w:leader="none"/>
      </w:tabs>
      <w:suppressAutoHyphens w:val="true"/>
      <w:jc w:val="both"/>
      <w:outlineLvl w:val="5"/>
    </w:pPr>
    <w:rPr>
      <w:i/>
      <w:sz w:val="21"/>
      <w:lang w:eastAsia="en-US"/>
    </w:rPr>
  </w:style>
  <w:style w:type="paragraph" w:styleId="Heading7">
    <w:name w:val="heading 7"/>
    <w:basedOn w:val="Normal"/>
    <w:next w:val="Normal"/>
    <w:qFormat/>
    <w:pPr>
      <w:keepNext w:val="true"/>
      <w:numPr>
        <w:ilvl w:val="6"/>
        <w:numId w:val="1"/>
      </w:numPr>
      <w:tabs>
        <w:tab w:val="left" w:pos="720" w:leader="none"/>
      </w:tabs>
      <w:spacing w:before="40" w:after="0"/>
      <w:jc w:val="both"/>
      <w:outlineLvl w:val="6"/>
    </w:pPr>
    <w:rPr>
      <w:i/>
    </w:rPr>
  </w:style>
  <w:style w:type="paragraph" w:styleId="Heading8">
    <w:name w:val="heading 8"/>
    <w:basedOn w:val="Normal"/>
    <w:next w:val="Normal"/>
    <w:qFormat/>
    <w:pPr>
      <w:keepNext w:val="true"/>
      <w:keepLines/>
      <w:numPr>
        <w:ilvl w:val="7"/>
        <w:numId w:val="1"/>
      </w:numPr>
      <w:tabs>
        <w:tab w:val="left" w:pos="720" w:leader="none"/>
      </w:tabs>
      <w:outlineLvl w:val="7"/>
    </w:pPr>
    <w:rPr>
      <w:i/>
      <w:sz w:val="21"/>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720"/>
        <w:tab w:val="left" w:pos="8820" w:leader="none"/>
      </w:tabs>
      <w:suppressAutoHyphens w:val="true"/>
      <w:jc w:val="center"/>
    </w:pPr>
    <w:rPr>
      <w:kern w:val="2"/>
      <w:sz w:val="36"/>
      <w:lang w:eastAsia="en-US"/>
    </w:rPr>
  </w:style>
  <w:style w:type="paragraph" w:styleId="BodyText">
    <w:name w:val="Body Text"/>
    <w:basedOn w:val="Normal"/>
    <w:pPr>
      <w:tabs>
        <w:tab w:val="left" w:pos="720" w:leader="none"/>
        <w:tab w:val="left" w:pos="1080" w:leader="none"/>
        <w:tab w:val="left" w:pos="2520" w:leader="none"/>
        <w:tab w:val="center" w:pos="3060" w:leader="none"/>
        <w:tab w:val="left" w:pos="3510" w:leader="none"/>
        <w:tab w:val="left" w:pos="3960" w:leader="none"/>
        <w:tab w:val="left" w:pos="4320" w:leader="none"/>
        <w:tab w:val="left" w:pos="4770" w:leader="none"/>
        <w:tab w:val="left" w:pos="4950" w:leader="none"/>
        <w:tab w:val="left" w:pos="5670" w:leader="none"/>
        <w:tab w:val="right" w:pos="6300" w:leader="none"/>
        <w:tab w:val="left" w:pos="6660" w:leader="none"/>
        <w:tab w:val="right" w:pos="7290" w:leader="none"/>
        <w:tab w:val="left" w:pos="7650" w:leader="none"/>
        <w:tab w:val="right" w:pos="8280" w:leader="none"/>
      </w:tabs>
      <w:jc w:val="both"/>
    </w:pPr>
    <w:rPr>
      <w:spacing w:val="-2"/>
      <w:kern w:val="2"/>
      <w:sz w:val="16"/>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346" w:leader="none"/>
        <w:tab w:val="left" w:pos="1710" w:leader="none"/>
        <w:tab w:val="center" w:pos="8294" w:leader="none"/>
      </w:tabs>
      <w:suppressAutoHyphens w:val="true"/>
      <w:spacing w:lineRule="auto" w:line="228"/>
      <w:ind w:hanging="1710" w:start="1710" w:end="0"/>
      <w:jc w:val="both"/>
    </w:pPr>
    <w:rPr>
      <w:spacing w:val="-2"/>
      <w:kern w:val="2"/>
      <w:sz w:val="21"/>
      <w:lang w:eastAsia="en-US"/>
    </w:rPr>
  </w:style>
  <w:style w:type="paragraph" w:styleId="BlockText">
    <w:name w:val="Block Text"/>
    <w:basedOn w:val="Normal"/>
    <w:qFormat/>
    <w:pPr>
      <w:tabs>
        <w:tab w:val="clear" w:pos="720"/>
        <w:tab w:val="left" w:pos="540" w:leader="none"/>
        <w:tab w:val="left" w:pos="900" w:leader="none"/>
      </w:tabs>
      <w:ind w:hanging="0" w:start="180" w:end="720"/>
      <w:jc w:val="both"/>
    </w:pPr>
    <w:rPr>
      <w:sz w:val="18"/>
      <w:lang w:eastAsia="en-US"/>
    </w:rPr>
  </w:style>
  <w:style w:type="paragraph" w:styleId="Document1">
    <w:name w:val="Document 1"/>
    <w:qFormat/>
    <w:pPr>
      <w:keepNext w:val="true"/>
      <w:keepLines/>
      <w:widowControl/>
      <w:tabs>
        <w:tab w:val="clear" w:pos="720"/>
        <w:tab w:val="left" w:pos="-720" w:leader="none"/>
      </w:tabs>
      <w:suppressAutoHyphens w:val="true"/>
      <w:bidi w:val="0"/>
    </w:pPr>
    <w:rPr>
      <w:rFonts w:ascii="CG Times" w:hAnsi="CG Times" w:eastAsia="Times New Roman" w:cs="CG Times"/>
      <w:color w:val="auto"/>
      <w:sz w:val="20"/>
      <w:szCs w:val="20"/>
      <w:lang w:val="en-US" w:eastAsia="en-US" w:bidi="hi-IN"/>
    </w:rPr>
  </w:style>
  <w:style w:type="paragraph" w:styleId="FootnoteBase">
    <w:name w:val="Footnote Base"/>
    <w:basedOn w:val="Normal"/>
    <w:qFormat/>
    <w:pPr/>
    <w:rPr>
      <w:lang w:eastAsia="en-US"/>
    </w:rPr>
  </w:style>
  <w:style w:type="paragraph" w:styleId="BodyTextIndent2">
    <w:name w:val="Body Text Indent 2"/>
    <w:basedOn w:val="Normal"/>
    <w:qFormat/>
    <w:pPr>
      <w:tabs>
        <w:tab w:val="clear" w:pos="720"/>
        <w:tab w:val="left" w:pos="346" w:leader="none"/>
        <w:tab w:val="left" w:pos="605" w:leader="none"/>
        <w:tab w:val="left" w:pos="810" w:leader="none"/>
        <w:tab w:val="left" w:pos="1296" w:leader="none"/>
        <w:tab w:val="center" w:pos="8294" w:leader="none"/>
      </w:tabs>
      <w:suppressAutoHyphens w:val="true"/>
      <w:spacing w:lineRule="auto" w:line="228"/>
      <w:ind w:hanging="360" w:start="360" w:end="0"/>
      <w:jc w:val="both"/>
    </w:pPr>
    <w:rPr>
      <w:spacing w:val="-2"/>
      <w:kern w:val="2"/>
      <w:sz w:val="21"/>
      <w:lang w:eastAsia="en-US"/>
    </w:rPr>
  </w:style>
  <w:style w:type="paragraph" w:styleId="BodyText3">
    <w:name w:val="Body Text 3"/>
    <w:basedOn w:val="Normal"/>
    <w:qFormat/>
    <w:pPr>
      <w:tabs>
        <w:tab w:val="clear" w:pos="720"/>
        <w:tab w:val="left" w:pos="270" w:leader="none"/>
        <w:tab w:val="left" w:pos="540" w:leader="none"/>
      </w:tabs>
      <w:ind w:hanging="0" w:start="0" w:end="1440"/>
      <w:jc w:val="both"/>
    </w:pPr>
    <w:rPr>
      <w:sz w:val="22"/>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CG Times" w:hAnsi="CG Times" w:cs="CG Times"/>
      <w:lang w:eastAsia="en-US"/>
    </w:rPr>
  </w:style>
  <w:style w:type="paragraph" w:styleId="Header">
    <w:name w:val="header"/>
    <w:basedOn w:val="Normal"/>
    <w:pPr>
      <w:tabs>
        <w:tab w:val="clear" w:pos="720"/>
        <w:tab w:val="center" w:pos="4320" w:leader="none"/>
        <w:tab w:val="right" w:pos="8640" w:leader="none"/>
      </w:tabs>
    </w:pPr>
    <w:rPr>
      <w:rFonts w:ascii="CG Times" w:hAnsi="CG Times" w:cs="CG Times"/>
      <w:lang w:eastAsia="en-US"/>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left" w:pos="355" w:leader="none"/>
        <w:tab w:val="left" w:pos="720" w:leader="none"/>
      </w:tabs>
      <w:jc w:val="both"/>
    </w:pPr>
    <w:rPr>
      <w:sz w:val="21"/>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2001-05-08T18:20:00Z</dcterms:created>
  <dc:creator>EOTT Energy</dc:creator>
  <dc:description/>
  <dc:language>en-CA</dc:language>
  <cp:lastModifiedBy>Preferred Customer</cp:lastModifiedBy>
  <cp:lastPrinted>2001-05-08T12:36:00Z</cp:lastPrinted>
  <dcterms:modified xsi:type="dcterms:W3CDTF">2001-05-08T18:20:00Z</dcterms:modified>
  <cp:revision>2</cp:revision>
  <dc:subject/>
  <dc:title>SECURITIES AND EXCHANGE COMMISSION</dc:title>
</cp:coreProperties>
</file>