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10/02/2001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Georgia Power Company</w:t>
            </w:r>
            <w:r>
              <w:rPr>
                <w:b/>
                <w:bCs/>
                <w:sz w:val="22"/>
                <w:szCs w:val="22"/>
              </w:rPr>
              <w:t>, a corporation organized under the law of the State of Georgia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provided, however, that the phrase “materially weaker” means the Credit Rating of the resulting, surviving or transferee entity is (i) rated less than investment grade by either Standard &amp; Poor’s Rating Group (“S&amp;P”) or Moody’s Investor Service, Inc. (“Moody’s”) or (ii) is withdrawn by either S&amp;P or Moody’s; provided, further, however, that the foregoing action or event shall not constitute a Termination Event (1) if after such action or event the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therefore Eligible Credit Support in an amount satisfactory to Y in its sole discretion.  If such Eligible Credit Support is provided, it shall be in addition to any Eligible Credit Support required under the ISDA Credit Support Annex attached but it shall be otherwise administered under said Credit Support Annex.</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(g)</w:t>
        <w:tab/>
      </w:r>
      <w:r>
        <w:rPr>
          <w:b/>
          <w:bCs/>
          <w:sz w:val="22"/>
          <w:szCs w:val="22"/>
        </w:rPr>
        <w:t>Additional Termination Event</w:t>
      </w:r>
      <w:r>
        <w:rPr>
          <w:sz w:val="22"/>
          <w:szCs w:val="22"/>
        </w:rPr>
        <w:t xml:space="preserve"> will apply.  The following will constitute an Additional Termination Event with respect to Party B:</w:t>
      </w:r>
    </w:p>
    <w:p>
      <w:pPr>
        <w:pStyle w:val="Normal"/>
        <w:spacing w:lineRule="exact" w:line="240" w:before="240" w:after="0"/>
        <w:ind w:start="720" w:end="0"/>
        <w:jc w:val="both"/>
        <w:rPr>
          <w:color w:val="FF0000"/>
          <w:sz w:val="22"/>
          <w:szCs w:val="22"/>
        </w:rPr>
      </w:pPr>
      <w:r>
        <w:rPr>
          <w:sz w:val="22"/>
          <w:szCs w:val="22"/>
        </w:rPr>
        <w:t>The filing of a motion, petition, pleading, application or other similar action, including the assertion of a position, in any proceeding or action by Party B, a commission, regulatory agency or other entity having jurisdiction over Party B, in respect of Party B, or in respect of any other similarly situated entity organized under the laws of the state(s) in which Party B is located or regulated to the effect that performance under this Agreement or any one or more Transactions hereunder or similar agreements is unlawful or that this Agreement or any one or more Transactions hereunder or under similar agreements are void or voidable.  For the purpose of the foregoing Termination Event, the Affected Party shall be Party B.</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firstLine="540" w:start="900" w:end="0"/>
        <w:jc w:val="both"/>
        <w:rPr>
          <w:sz w:val="22"/>
          <w:szCs w:val="22"/>
        </w:rPr>
      </w:pPr>
      <w:r>
        <w:rPr>
          <w:sz w:val="22"/>
          <w:szCs w:val="22"/>
        </w:rPr>
        <w:t>Party B is a corporation organized under the laws of the State of Georgia.</w:t>
      </w:r>
    </w:p>
    <w:p>
      <w:pPr>
        <w:pStyle w:val="Normal"/>
        <w:spacing w:lineRule="exact" w:line="240" w:before="24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keepNext w:val="true"/>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keepNext w:val="true"/>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keepNext w:val="true"/>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spacing w:lineRule="atLeast" w:line="240" w:before="240" w:after="0"/>
              <w:jc w:val="both"/>
              <w:rPr>
                <w:b/>
                <w:bCs/>
                <w:sz w:val="22"/>
                <w:szCs w:val="22"/>
              </w:rPr>
            </w:pPr>
            <w:r>
              <w:rPr>
                <w:sz w:val="22"/>
                <w:szCs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keepNext w:val="true"/>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 xml:space="preserve">Promptly following demand by Party A, but in no event later than 120 days after the end of each fiscal year of Party B if such Financial Statement is not available on “EDGAR” or Party B’s home page on the World Wide Web at </w:t>
            </w:r>
            <w:r>
              <w:rPr>
                <w:rFonts w:cs="Times New Roman" w:ascii="Times New Roman" w:hAnsi="Times New Roman"/>
                <w:spacing w:val="-10"/>
              </w:rPr>
              <w:t>www.southernco.com</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r>
              <w:rPr>
                <w:sz w:val="22"/>
              </w:rPr>
              <w:t xml:space="preserve"> if such Financial Statement is not available on “EDGAR” or Party B’s home page on the World Wide Web at </w:t>
            </w:r>
            <w:r>
              <w:rPr>
                <w:spacing w:val="-10"/>
                <w:sz w:val="22"/>
              </w:rPr>
              <w:t>www.southernco.com</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Georgia Power Company</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270 Peachtree Street, Suite 2000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Atlanta, Georgia 30303</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Manager, Risk Control</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(205) 257-5858</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(205) 257-6208</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unless an Event of Default, Potential Event of Default, or an Early Termination Date has occurred in which the Defaulting Party or Affected Party is the Calculation Agent, in which case, Party B shall be the Calculation Agent, or unless otherwise specified in a Confirmation in relation to the relevant Transaction.  Failure of a party acting as Calculation Agent to comply with or perform any of its agreements or obligations in that capacity shall not be an Event of Default with respect to such party under this Agreement.  The sole remedy of the other party with respect to such failure will be the right, but not the obligation, upon notice to the non-performing Calculation Agent, and provided that such failure is continuing, to designate itself or a third party as a replacement Calculation Agent for as long as such failure continues.  If such right is exercised, the designation shall be binding on the party then currently designated as the Calculation Agent.  In the event a calculation or determination is disputed by Party B, the parties shall endeavor to resolve such dispute in good faith.</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color w:val="FF0000"/>
          <w:sz w:val="22"/>
          <w:szCs w:val="22"/>
        </w:rPr>
      </w:pPr>
      <w:r>
        <w:rPr>
          <w:b/>
          <w:bCs/>
          <w:color w:val="FF0000"/>
          <w:sz w:val="22"/>
          <w:szCs w:val="22"/>
        </w:rPr>
      </w:r>
      <w:r>
        <w:br w:type="page"/>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three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ing2"/>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710" w:hRule="atLeast"/>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Heading4"/>
              <w:tabs>
                <w:tab w:val="clear" w:pos="1080"/>
              </w:tabs>
              <w:spacing w:lineRule="exact" w:line="240"/>
              <w:ind w:hanging="0" w:start="0"/>
              <w:rPr>
                <w:rFonts w:ascii="Times" w:hAnsi="Times" w:cs="Times"/>
                <w:caps/>
              </w:rPr>
            </w:pPr>
            <w:r>
              <w:rPr>
                <w:rFonts w:cs="Times" w:ascii="Times" w:hAnsi="Times"/>
                <w:caps/>
              </w:rPr>
              <w:t>Georgia Power Company</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w:ascii="Times" w:hAnsi="Times"/>
                <w:b/>
                <w:bCs/>
                <w:caps/>
                <w:sz w:val="22"/>
                <w:szCs w:val="22"/>
              </w:rPr>
              <w:t>Georgia Power Company</w:t>
            </w:r>
            <w:r>
              <w:rPr>
                <w:b/>
                <w:bCs/>
                <w:sz w:val="22"/>
                <w:szCs w:val="22"/>
              </w:rPr>
              <w:t>, a corporation organized under the law of the State of Georgia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$100,000.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$100,000.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With respect to a Letter of Credit, the stated amount (undrawn portion thereof), provided the Valuation Percentage is 100%.  If the Valuation Percentage is not 100%, the Value will be deemed to be zero (0).</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start="540" w:end="0"/>
        <w:jc w:val="both"/>
        <w:rPr>
          <w:sz w:val="22"/>
          <w:szCs w:val="22"/>
        </w:rPr>
      </w:pPr>
      <w:r>
        <w:rPr>
          <w:sz w:val="22"/>
          <w:szCs w:val="22"/>
        </w:rPr>
      </w:r>
    </w:p>
    <w:p>
      <w:pPr>
        <w:pStyle w:val="Normal"/>
        <w:ind w:start="540" w:end="0"/>
        <w:jc w:val="both"/>
        <w:rPr>
          <w:sz w:val="22"/>
          <w:szCs w:val="22"/>
        </w:rPr>
      </w:pPr>
      <w:r>
        <w:rPr>
          <w:sz w:val="22"/>
          <w:szCs w:val="22"/>
        </w:rPr>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color w:val="FF0000"/>
          <w:sz w:val="22"/>
          <w:szCs w:val="22"/>
        </w:rPr>
        <w:t xml:space="preserve"> </w:t>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ind w:hanging="0" w:end="0"/>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and at least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and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“Baa3” by Moody’s or its Credit Support Provider fails to have a Credit Rating from S&amp;P or Moody’s; or (b) with respect to Party B, its Credit Rating is below “BBB-” by S&amp;P or “Baa3” by Moody’s or it fails to have a Credit Rating from S&amp;P or Moody’s.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17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and at least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8"/>
          <w:headerReference w:type="first" r:id="rId9"/>
          <w:footerReference w:type="default" r:id="rId10"/>
          <w:footerReference w:type="first" r:id="rId11"/>
          <w:type w:val="nextPage"/>
          <w:pgSz w:w="12240" w:h="15840"/>
          <w:pgMar w:left="1080" w:right="1080" w:gutter="0" w:header="720" w:top="1080" w:footer="720" w:bottom="1080"/>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r>
      <w:r>
        <w:rPr>
          <w:sz w:val="22"/>
          <w:szCs w:val="22"/>
        </w:rPr>
        <w:t xml:space="preserve">,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rFonts w:cs="Times" w:ascii="Times" w:hAnsi="Times"/>
          <w:caps/>
          <w:sz w:val="22"/>
          <w:szCs w:val="22"/>
        </w:rPr>
        <w:t>Georgia Power Company</w:t>
      </w:r>
      <w:r>
        <w:rPr>
          <w:sz w:val="22"/>
          <w:szCs w:val="22"/>
        </w:rPr>
        <w:t>, a Georgia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Georgia Power Company</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 Southern Company Services, Inc.</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600 North 18</w:t>
            </w:r>
            <w:r>
              <w:rPr>
                <w:color w:val="000000"/>
                <w:sz w:val="22"/>
                <w:szCs w:val="22"/>
                <w:vertAlign w:val="superscript"/>
              </w:rPr>
              <w:t>th</w:t>
            </w:r>
            <w:r>
              <w:rPr>
                <w:color w:val="000000"/>
                <w:sz w:val="22"/>
                <w:szCs w:val="22"/>
              </w:rPr>
              <w:t xml:space="preserve"> Street</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Mail Code GS 8259</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Birmingham, Alabama  35242</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Manager, Risk Control</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(205) 257-5858</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/mnt/main-storage/datasets/enron-docs/doc/106actr__Georgia_Power_Co_.doc</w:t>
    </w:r>
    <w:r>
      <w:rPr>
        <w:rStyle w:val="PageNumber"/>
        <w:sz w:val="12"/>
        <w:szCs w:val="16"/>
      </w:rPr>
      <w:fldChar w:fldCharType="end"/>
    </w:r>
    <w:r>
      <mc:AlternateContent>
        <mc:Choice Requires="wps">
          <w:drawing>
            <wp:anchor behindDoc="0" distT="0" distB="0" distL="0" distR="0" simplePos="0" locked="0" layoutInCell="0" allowOverlap="1" relativeHeight="13">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12</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/mnt/main-storage/datasets/enron-docs/doc/106actr__Georgia_Power_Co_.doc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/mnt/main-storage/datasets/enron-docs/doc/106actr__Georgia_Power_Co_.doc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/mnt/main-storage/datasets/enron-docs/doc/106actr__Georgia_Power_Co_.doc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/mnt/main-storage/datasets/enron-docs/doc/106actr__Georgia_Power_Co_.doc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2001-10-02T16:27:00Z</dcterms:created>
  <dc:creator>mheard</dc:creator>
  <dc:description/>
  <dc:language>en-CA</dc:language>
  <cp:lastModifiedBy>mheard</cp:lastModifiedBy>
  <cp:lastPrinted>2001-10-02T17:43:00Z</cp:lastPrinted>
  <dcterms:modified xsi:type="dcterms:W3CDTF">2001-10-17T18:26:00Z</dcterms:modified>
  <cp:revision>9</cp:revision>
  <dc:subject/>
  <dc:title>ISDA Multicurrency Agreement</dc:title>
</cp:coreProperties>
</file>