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rPr>
          <w:rFonts w:ascii="Arial" w:hAnsi="Arial" w:eastAsia="Arial" w:cs="Arial"/>
          <w:sz w:val="24"/>
          <w:szCs w:val="24"/>
        </w:rPr>
      </w:pPr>
      <w:r>
        <w:rPr>
          <w:rFonts w:eastAsia="Arial" w:cs="Arial" w:ascii="Arial" w:hAnsi="Arial"/>
          <w:sz w:val="24"/>
          <w:szCs w:val="24"/>
        </w:rPr>
      </w:r>
    </w:p>
    <w:p>
      <w:pPr>
        <w:pStyle w:val="Normal"/>
        <w:widowControl/>
        <w:jc w:val="center"/>
        <w:rPr>
          <w:rFonts w:ascii="Arial" w:hAnsi="Arial" w:eastAsia="Arial" w:cs="Arial"/>
          <w:b/>
          <w:bCs/>
          <w:sz w:val="24"/>
          <w:szCs w:val="24"/>
        </w:rPr>
      </w:pPr>
      <w:r>
        <w:rPr>
          <w:rFonts w:eastAsia="Arial" w:cs="Arial" w:ascii="Arial" w:hAnsi="Arial"/>
          <w:b/>
          <w:bCs/>
          <w:sz w:val="24"/>
          <w:szCs w:val="24"/>
        </w:rPr>
        <w:t>UNITED STATES OF AMERICA</w:t>
      </w:r>
    </w:p>
    <w:p>
      <w:pPr>
        <w:pStyle w:val="Normal"/>
        <w:widowControl/>
        <w:tabs>
          <w:tab w:val="clear" w:pos="720"/>
          <w:tab w:val="center" w:pos="4140" w:leader="none"/>
          <w:tab w:val="left" w:pos="5385" w:leader="none"/>
        </w:tabs>
        <w:jc w:val="center"/>
        <w:rPr>
          <w:rFonts w:ascii="Arial" w:hAnsi="Arial" w:eastAsia="Arial" w:cs="Arial"/>
          <w:b/>
          <w:bCs/>
          <w:sz w:val="24"/>
          <w:szCs w:val="24"/>
        </w:rPr>
      </w:pPr>
      <w:r>
        <w:rPr>
          <w:rFonts w:eastAsia="Arial" w:cs="Arial" w:ascii="Arial" w:hAnsi="Arial"/>
          <w:b/>
          <w:bCs/>
          <w:sz w:val="24"/>
          <w:szCs w:val="24"/>
        </w:rPr>
        <w:t>BEFORE THE</w:t>
      </w:r>
    </w:p>
    <w:p>
      <w:pPr>
        <w:pStyle w:val="Normal"/>
        <w:widowControl/>
        <w:jc w:val="center"/>
        <w:rPr>
          <w:rFonts w:ascii="Arial" w:hAnsi="Arial" w:eastAsia="Arial" w:cs="Arial"/>
          <w:b/>
          <w:bCs/>
          <w:sz w:val="24"/>
          <w:szCs w:val="24"/>
        </w:rPr>
      </w:pPr>
      <w:r>
        <w:rPr>
          <w:rFonts w:eastAsia="Arial" w:cs="Arial" w:ascii="Arial" w:hAnsi="Arial"/>
          <w:b/>
          <w:bCs/>
          <w:sz w:val="24"/>
          <w:szCs w:val="24"/>
        </w:rPr>
        <w:t>FEDERAL ENERGY REGULATORY COMMISSION</w:t>
      </w:r>
    </w:p>
    <w:p>
      <w:pPr>
        <w:pStyle w:val="Normal"/>
        <w:widowControl/>
        <w:jc w:val="center"/>
        <w:rPr>
          <w:rFonts w:ascii="Arial" w:hAnsi="Arial" w:eastAsia="Arial" w:cs="Arial"/>
          <w:b/>
          <w:bCs/>
          <w:sz w:val="24"/>
          <w:szCs w:val="24"/>
        </w:rPr>
      </w:pPr>
      <w:r>
        <w:rPr>
          <w:rFonts w:eastAsia="Arial" w:cs="Arial" w:ascii="Arial" w:hAnsi="Arial"/>
          <w:b/>
          <w:bCs/>
          <w:sz w:val="24"/>
          <w:szCs w:val="24"/>
        </w:rPr>
      </w:r>
    </w:p>
    <w:p>
      <w:pPr>
        <w:pStyle w:val="Normal"/>
        <w:widowControl/>
        <w:rPr>
          <w:rFonts w:ascii="Arial" w:hAnsi="Arial" w:eastAsia="Arial" w:cs="Arial"/>
          <w:b/>
          <w:bCs/>
          <w:sz w:val="24"/>
          <w:szCs w:val="24"/>
        </w:rPr>
      </w:pPr>
      <w:r>
        <w:rPr>
          <w:rFonts w:eastAsia="Arial" w:cs="Arial" w:ascii="Arial" w:hAnsi="Arial"/>
          <w:b/>
          <w:bCs/>
          <w:sz w:val="24"/>
          <w:szCs w:val="24"/>
        </w:rPr>
      </w:r>
    </w:p>
    <w:p>
      <w:pPr>
        <w:pStyle w:val="Normal"/>
        <w:widowControl/>
        <w:rPr>
          <w:rFonts w:ascii="Arial" w:hAnsi="Arial" w:eastAsia="Arial" w:cs="Arial"/>
          <w:b/>
          <w:bCs/>
          <w:sz w:val="24"/>
          <w:szCs w:val="24"/>
        </w:rPr>
      </w:pPr>
      <w:r>
        <w:rPr>
          <w:rFonts w:eastAsia="Arial" w:cs="Arial" w:ascii="Arial" w:hAnsi="Arial"/>
          <w:b/>
          <w:bCs/>
          <w:sz w:val="24"/>
          <w:szCs w:val="24"/>
        </w:rPr>
      </w:r>
    </w:p>
    <w:p>
      <w:pPr>
        <w:pStyle w:val="Normal"/>
        <w:widowControl/>
        <w:rPr>
          <w:rFonts w:ascii="Arial" w:hAnsi="Arial" w:eastAsia="Arial" w:cs="Arial"/>
          <w:b/>
          <w:bCs/>
          <w:sz w:val="24"/>
          <w:szCs w:val="24"/>
        </w:rPr>
      </w:pPr>
      <w:r>
        <w:rPr>
          <w:rFonts w:eastAsia="Arial" w:cs="Arial" w:ascii="Arial" w:hAnsi="Arial"/>
          <w:b/>
          <w:bCs/>
          <w:sz w:val="24"/>
          <w:szCs w:val="24"/>
        </w:rPr>
      </w:r>
    </w:p>
    <w:p>
      <w:pPr>
        <w:pStyle w:val="Normal"/>
        <w:widowControl/>
        <w:rPr>
          <w:rFonts w:ascii="Arial" w:hAnsi="Arial" w:eastAsia="Arial" w:cs="Arial"/>
          <w:b/>
          <w:bCs/>
          <w:sz w:val="24"/>
          <w:szCs w:val="24"/>
        </w:rPr>
      </w:pPr>
      <w:r>
        <w:rPr>
          <w:rFonts w:eastAsia="Arial" w:cs="Arial" w:ascii="Arial" w:hAnsi="Arial"/>
          <w:b/>
          <w:bCs/>
          <w:sz w:val="24"/>
          <w:szCs w:val="24"/>
        </w:rPr>
      </w:r>
    </w:p>
    <w:p>
      <w:pPr>
        <w:pStyle w:val="Normal"/>
        <w:widowControl/>
        <w:rPr>
          <w:rFonts w:ascii="Arial" w:hAnsi="Arial" w:eastAsia="Arial" w:cs="Arial"/>
          <w:b/>
          <w:bCs/>
          <w:sz w:val="24"/>
          <w:szCs w:val="24"/>
        </w:rPr>
      </w:pPr>
      <w:r>
        <w:rPr>
          <w:rFonts w:eastAsia="Arial" w:cs="Arial" w:ascii="Arial" w:hAnsi="Arial"/>
          <w:b/>
          <w:bCs/>
          <w:sz w:val="24"/>
          <w:szCs w:val="24"/>
        </w:rPr>
      </w:r>
    </w:p>
    <w:p>
      <w:pPr>
        <w:pStyle w:val="Normal"/>
        <w:widowControl/>
        <w:rPr>
          <w:rFonts w:ascii="Arial" w:hAnsi="Arial" w:eastAsia="Arial" w:cs="Arial"/>
          <w:b/>
          <w:bCs/>
          <w:sz w:val="24"/>
          <w:szCs w:val="24"/>
        </w:rPr>
      </w:pPr>
      <w:r>
        <w:rPr>
          <w:rFonts w:eastAsia="Arial" w:cs="Arial" w:ascii="Arial" w:hAnsi="Arial"/>
          <w:b/>
          <w:bCs/>
          <w:sz w:val="24"/>
          <w:szCs w:val="24"/>
        </w:rPr>
      </w:r>
    </w:p>
    <w:p>
      <w:pPr>
        <w:pStyle w:val="Normal"/>
        <w:widowControl/>
        <w:rPr>
          <w:rFonts w:ascii="Arial" w:hAnsi="Arial" w:eastAsia="Arial" w:cs="Arial"/>
          <w:b/>
          <w:bCs/>
          <w:sz w:val="24"/>
          <w:szCs w:val="24"/>
        </w:rPr>
      </w:pPr>
      <w:r>
        <w:rPr>
          <w:rFonts w:eastAsia="Arial" w:cs="Arial" w:ascii="Arial" w:hAnsi="Arial"/>
          <w:b/>
          <w:bCs/>
          <w:sz w:val="24"/>
          <w:szCs w:val="24"/>
        </w:rPr>
      </w:r>
    </w:p>
    <w:p>
      <w:pPr>
        <w:pStyle w:val="Normal"/>
        <w:widowControl/>
        <w:rPr>
          <w:rFonts w:ascii="Arial" w:hAnsi="Arial" w:eastAsia="Arial" w:cs="Arial"/>
          <w:b/>
          <w:bCs/>
          <w:sz w:val="24"/>
          <w:szCs w:val="24"/>
        </w:rPr>
      </w:pPr>
      <w:r>
        <w:rPr>
          <w:rFonts w:eastAsia="Arial" w:cs="Arial" w:ascii="Arial" w:hAnsi="Arial"/>
          <w:b/>
          <w:bCs/>
          <w:sz w:val="24"/>
          <w:szCs w:val="24"/>
        </w:rPr>
      </w:r>
    </w:p>
    <w:p>
      <w:pPr>
        <w:pStyle w:val="Normal"/>
        <w:widowControl/>
        <w:rPr>
          <w:rFonts w:ascii="Arial" w:hAnsi="Arial" w:eastAsia="Arial" w:cs="Arial"/>
          <w:b/>
          <w:bCs/>
          <w:sz w:val="24"/>
          <w:szCs w:val="24"/>
        </w:rPr>
      </w:pPr>
      <w:r>
        <w:rPr>
          <w:rFonts w:eastAsia="Arial" w:cs="Arial" w:ascii="Arial" w:hAnsi="Arial"/>
          <w:b/>
          <w:bCs/>
          <w:sz w:val="24"/>
          <w:szCs w:val="24"/>
        </w:rPr>
      </w:r>
    </w:p>
    <w:p>
      <w:pPr>
        <w:pStyle w:val="Normal"/>
        <w:widowControl/>
        <w:rPr>
          <w:rFonts w:ascii="Arial" w:hAnsi="Arial" w:eastAsia="Arial" w:cs="Arial"/>
          <w:b/>
          <w:bCs/>
          <w:sz w:val="24"/>
          <w:szCs w:val="24"/>
        </w:rPr>
      </w:pPr>
      <w:r>
        <w:rPr>
          <w:rFonts w:eastAsia="Arial" w:cs="Arial" w:ascii="Arial" w:hAnsi="Arial"/>
          <w:b/>
          <w:bCs/>
          <w:sz w:val="24"/>
          <w:szCs w:val="24"/>
        </w:rPr>
        <w:t>California Independent System</w:t>
        <w:tab/>
        <w:tab/>
        <w:t>)</w:t>
      </w:r>
    </w:p>
    <w:p>
      <w:pPr>
        <w:pStyle w:val="Normal"/>
        <w:widowControl/>
        <w:ind w:start="720" w:end="0"/>
        <w:rPr>
          <w:rFonts w:ascii="Arial" w:hAnsi="Arial" w:eastAsia="Arial" w:cs="Arial"/>
          <w:b/>
          <w:bCs/>
          <w:sz w:val="24"/>
          <w:szCs w:val="24"/>
        </w:rPr>
      </w:pPr>
      <w:r>
        <w:rPr>
          <w:rFonts w:eastAsia="Arial" w:cs="Arial" w:ascii="Arial" w:hAnsi="Arial"/>
          <w:b/>
          <w:bCs/>
          <w:sz w:val="24"/>
          <w:szCs w:val="24"/>
        </w:rPr>
        <w:t>Operator Corporation</w:t>
        <w:tab/>
        <w:tab/>
        <w:t>)</w:t>
        <w:tab/>
        <w:t xml:space="preserve">Docket No. </w:t>
        <w:tab/>
        <w:t>ER00-3673-000</w:t>
      </w:r>
    </w:p>
    <w:p>
      <w:pPr>
        <w:pStyle w:val="Heading1"/>
        <w:widowControl/>
        <w:spacing w:lineRule="auto" w:line="240"/>
        <w:ind w:hanging="0" w:start="0"/>
        <w:rPr>
          <w:rFonts w:ascii="Arial" w:hAnsi="Arial" w:eastAsia="Arial" w:cs="Arial"/>
          <w:b w:val="false"/>
          <w:bCs w:val="false"/>
          <w:sz w:val="24"/>
          <w:szCs w:val="24"/>
        </w:rPr>
      </w:pPr>
      <w:r>
        <w:rPr>
          <w:rFonts w:eastAsia="Arial" w:cs="Arial" w:ascii="Arial" w:hAnsi="Arial"/>
          <w:b w:val="false"/>
          <w:bCs w:val="false"/>
          <w:sz w:val="24"/>
          <w:szCs w:val="24"/>
        </w:rPr>
      </w:r>
    </w:p>
    <w:p>
      <w:pPr>
        <w:pStyle w:val="Heading1"/>
        <w:widowControl/>
        <w:spacing w:lineRule="auto" w:line="240"/>
        <w:ind w:hanging="0" w:start="0"/>
        <w:rPr>
          <w:rFonts w:ascii="Arial" w:hAnsi="Arial" w:eastAsia="Arial" w:cs="Arial"/>
        </w:rPr>
      </w:pPr>
      <w:r>
        <w:rPr>
          <w:rFonts w:eastAsia="Arial" w:cs="Arial" w:ascii="Arial" w:hAnsi="Arial"/>
        </w:rPr>
      </w:r>
    </w:p>
    <w:p>
      <w:pPr>
        <w:pStyle w:val="Heading1"/>
        <w:widowControl/>
        <w:spacing w:lineRule="auto" w:line="240"/>
        <w:ind w:hanging="0" w:start="0"/>
        <w:rPr>
          <w:rFonts w:ascii="Arial" w:hAnsi="Arial" w:eastAsia="Arial" w:cs="Arial"/>
        </w:rPr>
      </w:pPr>
      <w:r>
        <w:rPr>
          <w:rFonts w:eastAsia="Arial" w:cs="Arial" w:ascii="Arial" w:hAnsi="Arial"/>
        </w:rPr>
      </w:r>
    </w:p>
    <w:p>
      <w:pPr>
        <w:pStyle w:val="Heading1"/>
        <w:widowControl/>
        <w:spacing w:lineRule="auto" w:line="240"/>
        <w:ind w:hanging="0" w:start="0"/>
        <w:rPr>
          <w:rFonts w:ascii="Arial" w:hAnsi="Arial" w:eastAsia="Arial" w:cs="Arial"/>
        </w:rPr>
      </w:pPr>
      <w:r>
        <w:rPr>
          <w:rFonts w:eastAsia="Arial" w:cs="Arial" w:ascii="Arial" w:hAnsi="Arial"/>
        </w:rPr>
      </w:r>
    </w:p>
    <w:p>
      <w:pPr>
        <w:pStyle w:val="Heading1"/>
        <w:widowControl/>
        <w:spacing w:lineRule="auto" w:line="240"/>
        <w:ind w:hanging="0" w:start="0"/>
        <w:rPr>
          <w:rFonts w:ascii="Arial" w:hAnsi="Arial" w:eastAsia="Arial" w:cs="Arial"/>
        </w:rPr>
      </w:pPr>
      <w:r>
        <w:rPr>
          <w:rFonts w:eastAsia="Arial" w:cs="Arial" w:ascii="Arial" w:hAnsi="Arial"/>
        </w:rPr>
      </w:r>
    </w:p>
    <w:p>
      <w:pPr>
        <w:pStyle w:val="Heading1"/>
        <w:widowControl/>
        <w:spacing w:lineRule="auto" w:line="240"/>
        <w:ind w:hanging="0" w:start="0"/>
        <w:rPr>
          <w:rFonts w:ascii="Arial" w:hAnsi="Arial" w:eastAsia="Arial" w:cs="Arial"/>
        </w:rPr>
      </w:pPr>
      <w:r>
        <w:rPr>
          <w:rFonts w:eastAsia="Arial" w:cs="Arial" w:ascii="Arial" w:hAnsi="Arial"/>
        </w:rPr>
      </w:r>
    </w:p>
    <w:p>
      <w:pPr>
        <w:pStyle w:val="Heading1"/>
        <w:widowControl/>
        <w:spacing w:lineRule="auto" w:line="240"/>
        <w:ind w:hanging="0" w:start="0"/>
        <w:rPr>
          <w:rFonts w:ascii="Arial" w:hAnsi="Arial" w:eastAsia="Arial" w:cs="Arial"/>
        </w:rPr>
      </w:pPr>
      <w:r>
        <w:rPr>
          <w:rFonts w:eastAsia="Arial" w:cs="Arial" w:ascii="Arial" w:hAnsi="Arial"/>
        </w:rPr>
      </w:r>
    </w:p>
    <w:p>
      <w:pPr>
        <w:pStyle w:val="Heading1"/>
        <w:widowControl/>
        <w:spacing w:lineRule="auto" w:line="240"/>
        <w:ind w:hanging="0" w:start="0"/>
        <w:rPr>
          <w:rFonts w:ascii="Arial" w:hAnsi="Arial" w:eastAsia="Arial" w:cs="Arial"/>
        </w:rPr>
      </w:pPr>
      <w:r>
        <w:rPr>
          <w:rFonts w:eastAsia="Arial" w:cs="Arial" w:ascii="Arial" w:hAnsi="Arial"/>
        </w:rPr>
      </w:r>
    </w:p>
    <w:p>
      <w:pPr>
        <w:pStyle w:val="Heading1"/>
        <w:widowControl/>
        <w:spacing w:lineRule="auto" w:line="240"/>
        <w:ind w:hanging="0" w:start="0"/>
        <w:rPr>
          <w:rFonts w:ascii="Arial" w:hAnsi="Arial" w:eastAsia="Arial" w:cs="Arial"/>
        </w:rPr>
      </w:pPr>
      <w:r>
        <w:rPr>
          <w:rFonts w:eastAsia="Arial" w:cs="Arial" w:ascii="Arial" w:hAnsi="Arial"/>
        </w:rPr>
        <w:t>MOTION TO INTERVENE, PROTEST AND COMMENTS OF</w:t>
      </w:r>
    </w:p>
    <w:p>
      <w:pPr>
        <w:pStyle w:val="Heading1"/>
        <w:widowControl/>
        <w:spacing w:lineRule="auto" w:line="240"/>
        <w:ind w:hanging="0" w:start="0"/>
        <w:rPr>
          <w:rFonts w:ascii="Arial" w:hAnsi="Arial" w:eastAsia="Arial" w:cs="Arial"/>
        </w:rPr>
      </w:pPr>
      <w:r>
        <w:rPr>
          <w:rFonts w:eastAsia="Arial" w:cs="Arial" w:ascii="Arial" w:hAnsi="Arial"/>
        </w:rPr>
        <w:t>WESTERN POWER TRADING FORUM</w:t>
      </w:r>
    </w:p>
    <w:p>
      <w:pPr>
        <w:pStyle w:val="Normal"/>
        <w:widowControl/>
        <w:rPr>
          <w:rFonts w:ascii="Arial" w:hAnsi="Arial" w:eastAsia="Arial" w:cs="Arial"/>
          <w:sz w:val="24"/>
          <w:szCs w:val="24"/>
        </w:rPr>
      </w:pPr>
      <w:r>
        <w:rPr>
          <w:rFonts w:eastAsia="Arial" w:cs="Arial" w:ascii="Arial" w:hAnsi="Arial"/>
          <w:sz w:val="24"/>
          <w:szCs w:val="24"/>
        </w:rPr>
      </w:r>
    </w:p>
    <w:p>
      <w:pPr>
        <w:pStyle w:val="Normal"/>
        <w:spacing w:lineRule="auto" w:line="480"/>
        <w:jc w:val="both"/>
        <w:rPr>
          <w:rFonts w:ascii="Arial" w:hAnsi="Arial" w:eastAsia="Arial" w:cs="Arial"/>
          <w:sz w:val="24"/>
          <w:szCs w:val="24"/>
        </w:rPr>
      </w:pPr>
      <w:r>
        <w:rPr>
          <w:rFonts w:eastAsia="Arial" w:cs="Arial" w:ascii="Arial" w:hAnsi="Arial"/>
          <w:b/>
          <w:bCs/>
          <w:sz w:val="24"/>
          <w:szCs w:val="24"/>
          <w:u w:val="single"/>
        </w:rPr>
        <w:t>Introduction</w:t>
      </w:r>
    </w:p>
    <w:p>
      <w:pPr>
        <w:pStyle w:val="Normal"/>
        <w:spacing w:lineRule="auto" w:line="480"/>
        <w:ind w:firstLine="720" w:end="0"/>
        <w:jc w:val="both"/>
        <w:rPr/>
      </w:pPr>
      <w:r>
        <w:rPr>
          <w:rFonts w:eastAsia="Arial" w:cs="Arial" w:ascii="Arial" w:hAnsi="Arial"/>
          <w:sz w:val="24"/>
          <w:szCs w:val="24"/>
        </w:rPr>
        <w:t xml:space="preserve">Pursuant to Rule 214 of the Commission’s Rules of Practice and Procedure </w:t>
      </w:r>
      <w:r>
        <w:rPr>
          <w:rStyle w:val="FootnoteCharacters"/>
          <w:rStyle w:val="FootnoteReference"/>
          <w:rFonts w:eastAsia="Arial" w:cs="Arial" w:ascii="Arial" w:hAnsi="Arial"/>
          <w:sz w:val="24"/>
          <w:szCs w:val="24"/>
        </w:rPr>
        <w:footnoteReference w:id="2"/>
      </w:r>
      <w:r>
        <w:rPr>
          <w:rFonts w:eastAsia="Arial" w:cs="Arial" w:ascii="Arial" w:hAnsi="Arial"/>
          <w:sz w:val="24"/>
          <w:szCs w:val="24"/>
        </w:rPr>
        <w:t xml:space="preserve"> and the Commission’s Notice of Filing issued on September 18, 2000, the Western Power Trading Forum (“WPTF”) hereby moves to intervene in the above-captioned docket, in order to file its protest and comments on Amendment No. 31 to the ISO Tariff filed by the California Independent System Operator (“ISO”) in this docket.  The ISO made a filing on September 14, 2000, under the provisions of Section 205 of the Federal Power Act (“FPA”) </w:t>
      </w:r>
      <w:r>
        <w:rPr>
          <w:rStyle w:val="FootnoteCharacters"/>
          <w:rStyle w:val="FootnoteReference"/>
          <w:rFonts w:eastAsia="Arial" w:cs="Arial" w:ascii="Arial" w:hAnsi="Arial"/>
          <w:sz w:val="24"/>
          <w:szCs w:val="24"/>
        </w:rPr>
        <w:footnoteReference w:id="3"/>
      </w:r>
      <w:r>
        <w:rPr>
          <w:rFonts w:eastAsia="Arial" w:cs="Arial" w:ascii="Arial" w:hAnsi="Arial"/>
          <w:sz w:val="24"/>
          <w:szCs w:val="24"/>
        </w:rPr>
        <w:t xml:space="preserve"> and Section 35.13 of the Commission's regulations, </w:t>
      </w:r>
      <w:r>
        <w:rPr>
          <w:rStyle w:val="FootnoteCharacters"/>
          <w:rStyle w:val="FootnoteReference"/>
          <w:rFonts w:eastAsia="Arial" w:cs="Arial" w:ascii="Arial" w:hAnsi="Arial"/>
          <w:sz w:val="24"/>
          <w:szCs w:val="24"/>
        </w:rPr>
        <w:footnoteReference w:id="4"/>
      </w:r>
      <w:r>
        <w:rPr>
          <w:rFonts w:eastAsia="Arial" w:cs="Arial" w:ascii="Arial" w:hAnsi="Arial"/>
          <w:sz w:val="24"/>
          <w:szCs w:val="24"/>
        </w:rPr>
        <w:t xml:space="preserve"> in which it requests that the Commission allow it the authority to impose price caps for all its markets.</w:t>
      </w:r>
    </w:p>
    <w:p>
      <w:pPr>
        <w:pStyle w:val="QA"/>
        <w:widowControl/>
        <w:spacing w:lineRule="auto" w:line="480"/>
        <w:ind w:firstLine="720" w:start="0" w:end="0"/>
        <w:jc w:val="both"/>
        <w:rPr>
          <w:rFonts w:ascii="Arial" w:hAnsi="Arial" w:eastAsia="Arial" w:cs="Arial"/>
        </w:rPr>
      </w:pPr>
      <w:r>
        <w:rPr>
          <w:rFonts w:eastAsia="Arial" w:cs="Arial" w:ascii="Arial" w:hAnsi="Arial"/>
        </w:rPr>
        <w:t xml:space="preserve">WPTF is a California non-profit, mutual benefit corporation.  It is a broadly based membership organization dedicated to enhancing competition in Western electric markets in order to reduce the cost of electricity to consumers throughout the region while maintaining the current high level of system reliability.  WPTF actions are focused on supporting development of competitive electricity markets throughout the region and developing uniform operating rules to facilitate transactions among market participants.  The WPTF provides a voice through which members can influence the development of market structures throughout the region.  </w:t>
      </w:r>
    </w:p>
    <w:p>
      <w:pPr>
        <w:pStyle w:val="QA"/>
        <w:widowControl/>
        <w:spacing w:lineRule="auto" w:line="480"/>
        <w:ind w:firstLine="720" w:start="0" w:end="0"/>
        <w:jc w:val="both"/>
        <w:rPr>
          <w:rFonts w:ascii="Arial" w:hAnsi="Arial" w:eastAsia="Arial" w:cs="Arial"/>
        </w:rPr>
      </w:pPr>
      <w:r>
        <w:rPr>
          <w:rFonts w:eastAsia="Arial" w:cs="Arial" w:ascii="Arial" w:hAnsi="Arial"/>
        </w:rPr>
        <w:t>The membership of WPTF includes energy service providers, scheduling coordinators, generators and power exchanges, all of which are active participants in the restructured California electricity market.  WPTF has a vital interest in the development of a competitive electric market and in the reduction of barriers that may exist in the very structure of new markets.  Therefore, WPTF has a material interest in the ISO’s filing and its participation in this proceeding will be in the public interest.  No other party can adequately represent the interests of WPTF in this proceeding.</w:t>
      </w:r>
    </w:p>
    <w:p>
      <w:pPr>
        <w:pStyle w:val="QA"/>
        <w:widowControl/>
        <w:spacing w:lineRule="auto" w:line="480"/>
        <w:ind w:firstLine="720" w:start="0" w:end="0"/>
        <w:jc w:val="both"/>
        <w:rPr>
          <w:rFonts w:ascii="Arial" w:hAnsi="Arial" w:eastAsia="Arial" w:cs="Arial"/>
        </w:rPr>
      </w:pPr>
      <w:r>
        <w:rPr>
          <w:rFonts w:eastAsia="Arial" w:cs="Arial" w:ascii="Arial" w:hAnsi="Arial"/>
        </w:rPr>
        <w:t xml:space="preserve">For purposes of notices and communications, WPTF requests that the following </w:t>
      </w:r>
    </w:p>
    <w:p>
      <w:pPr>
        <w:pStyle w:val="QA"/>
        <w:widowControl/>
        <w:spacing w:lineRule="auto" w:line="480"/>
        <w:ind w:hanging="0" w:start="0" w:end="0"/>
        <w:jc w:val="both"/>
        <w:rPr>
          <w:rFonts w:ascii="Arial" w:hAnsi="Arial" w:eastAsia="Arial" w:cs="Arial"/>
        </w:rPr>
      </w:pPr>
      <w:r>
        <w:rPr>
          <w:rFonts w:eastAsia="Arial" w:cs="Arial" w:ascii="Arial" w:hAnsi="Arial"/>
        </w:rPr>
        <w:t>names be placed on the service list for this proceeding:</w:t>
      </w:r>
    </w:p>
    <w:p>
      <w:pPr>
        <w:pStyle w:val="Normal"/>
        <w:ind w:firstLine="1440" w:end="0"/>
        <w:rPr>
          <w:rFonts w:ascii="Arial" w:hAnsi="Arial" w:eastAsia="Arial" w:cs="Arial"/>
          <w:sz w:val="24"/>
          <w:szCs w:val="24"/>
        </w:rPr>
      </w:pPr>
      <w:r>
        <w:rPr>
          <w:rFonts w:eastAsia="Arial" w:cs="Arial" w:ascii="Arial" w:hAnsi="Arial"/>
          <w:sz w:val="24"/>
          <w:szCs w:val="24"/>
        </w:rPr>
        <w:t>Daniel W. Douglass</w:t>
      </w:r>
    </w:p>
    <w:p>
      <w:pPr>
        <w:pStyle w:val="Normal"/>
        <w:ind w:firstLine="1440" w:end="0"/>
        <w:rPr>
          <w:rFonts w:ascii="Arial" w:hAnsi="Arial" w:eastAsia="Arial" w:cs="Arial"/>
          <w:sz w:val="24"/>
          <w:szCs w:val="24"/>
        </w:rPr>
      </w:pPr>
      <w:r>
        <w:rPr>
          <w:rFonts w:eastAsia="Arial" w:cs="Arial" w:ascii="Arial" w:hAnsi="Arial"/>
          <w:sz w:val="24"/>
          <w:szCs w:val="24"/>
        </w:rPr>
        <w:t>Freya L. Christian</w:t>
      </w:r>
    </w:p>
    <w:p>
      <w:pPr>
        <w:pStyle w:val="Normal"/>
        <w:ind w:firstLine="1440" w:end="0"/>
        <w:rPr>
          <w:rFonts w:ascii="Arial" w:hAnsi="Arial" w:eastAsia="Arial" w:cs="Arial"/>
          <w:sz w:val="24"/>
          <w:szCs w:val="24"/>
        </w:rPr>
      </w:pPr>
      <w:r>
        <w:rPr>
          <w:rFonts w:eastAsia="Arial" w:cs="Arial" w:ascii="Arial" w:hAnsi="Arial"/>
          <w:sz w:val="24"/>
          <w:szCs w:val="24"/>
        </w:rPr>
        <w:t>Arter &amp; Hadden LLP</w:t>
      </w:r>
    </w:p>
    <w:p>
      <w:pPr>
        <w:pStyle w:val="Normal"/>
        <w:ind w:firstLine="1440" w:end="0"/>
        <w:rPr>
          <w:rFonts w:ascii="Arial" w:hAnsi="Arial" w:eastAsia="Arial" w:cs="Arial"/>
          <w:sz w:val="24"/>
          <w:szCs w:val="24"/>
        </w:rPr>
      </w:pPr>
      <w:r>
        <w:rPr>
          <w:rFonts w:eastAsia="Arial" w:cs="Arial" w:ascii="Arial" w:hAnsi="Arial"/>
          <w:sz w:val="24"/>
          <w:szCs w:val="24"/>
        </w:rPr>
        <w:t>5959 Topanga Canyon Blvd., Suite 244</w:t>
      </w:r>
    </w:p>
    <w:p>
      <w:pPr>
        <w:pStyle w:val="Normal"/>
        <w:ind w:firstLine="1440" w:end="0"/>
        <w:rPr>
          <w:rFonts w:ascii="Arial" w:hAnsi="Arial" w:eastAsia="Arial" w:cs="Arial"/>
          <w:sz w:val="24"/>
          <w:szCs w:val="24"/>
        </w:rPr>
      </w:pPr>
      <w:r>
        <w:rPr>
          <w:rFonts w:eastAsia="Arial" w:cs="Arial" w:ascii="Arial" w:hAnsi="Arial"/>
          <w:sz w:val="24"/>
          <w:szCs w:val="24"/>
        </w:rPr>
        <w:t>Woodland Hills, CA 91367</w:t>
      </w:r>
    </w:p>
    <w:p>
      <w:pPr>
        <w:pStyle w:val="Normal"/>
        <w:ind w:firstLine="1440" w:end="0"/>
        <w:rPr>
          <w:rFonts w:ascii="Arial" w:hAnsi="Arial" w:eastAsia="Arial" w:cs="Arial"/>
          <w:sz w:val="24"/>
          <w:szCs w:val="24"/>
        </w:rPr>
      </w:pPr>
      <w:r>
        <w:rPr>
          <w:rFonts w:eastAsia="Arial" w:cs="Arial" w:ascii="Arial" w:hAnsi="Arial"/>
          <w:sz w:val="24"/>
          <w:szCs w:val="24"/>
        </w:rPr>
        <w:t>Telephone (818) 596-2201</w:t>
      </w:r>
    </w:p>
    <w:p>
      <w:pPr>
        <w:pStyle w:val="Normal"/>
        <w:ind w:firstLine="1440" w:end="0"/>
        <w:rPr>
          <w:rFonts w:ascii="Arial" w:hAnsi="Arial" w:eastAsia="Arial" w:cs="Arial"/>
          <w:sz w:val="24"/>
          <w:szCs w:val="24"/>
        </w:rPr>
      </w:pPr>
      <w:r>
        <w:rPr>
          <w:rFonts w:eastAsia="Arial" w:cs="Arial" w:ascii="Arial" w:hAnsi="Arial"/>
          <w:sz w:val="24"/>
          <w:szCs w:val="24"/>
        </w:rPr>
        <w:t>Facsimile (818) 346-6502</w:t>
      </w:r>
    </w:p>
    <w:p>
      <w:pPr>
        <w:pStyle w:val="Normal"/>
        <w:ind w:firstLine="1440" w:end="0"/>
        <w:rPr>
          <w:rFonts w:ascii="Arial" w:hAnsi="Arial" w:eastAsia="Arial" w:cs="Arial"/>
          <w:sz w:val="24"/>
          <w:szCs w:val="24"/>
        </w:rPr>
      </w:pPr>
      <w:r>
        <w:rPr>
          <w:rFonts w:eastAsia="Arial" w:cs="Arial" w:ascii="Arial" w:hAnsi="Arial"/>
          <w:sz w:val="24"/>
          <w:szCs w:val="24"/>
        </w:rPr>
      </w:r>
    </w:p>
    <w:p>
      <w:pPr>
        <w:pStyle w:val="Normal"/>
        <w:spacing w:lineRule="auto" w:line="480"/>
        <w:ind w:firstLine="720" w:end="0"/>
        <w:jc w:val="both"/>
        <w:rPr>
          <w:rFonts w:ascii="Arial" w:hAnsi="Arial" w:eastAsia="Arial" w:cs="Arial"/>
          <w:sz w:val="24"/>
          <w:szCs w:val="24"/>
        </w:rPr>
      </w:pPr>
      <w:r>
        <w:rPr>
          <w:rFonts w:eastAsia="Arial" w:cs="Arial" w:ascii="Arial" w:hAnsi="Arial"/>
          <w:sz w:val="24"/>
          <w:szCs w:val="24"/>
        </w:rPr>
        <w:t>WPTF opposes the ISO Tariff amendment proposal for the following four reasons:</w:t>
      </w:r>
    </w:p>
    <w:p>
      <w:pPr>
        <w:pStyle w:val="Normal"/>
        <w:numPr>
          <w:ilvl w:val="0"/>
          <w:numId w:val="2"/>
        </w:numPr>
        <w:tabs>
          <w:tab w:val="clear" w:pos="720"/>
          <w:tab w:val="left" w:pos="0" w:leader="none"/>
        </w:tabs>
        <w:spacing w:lineRule="auto" w:line="480"/>
        <w:ind w:firstLine="360" w:start="360" w:end="0"/>
        <w:jc w:val="both"/>
        <w:rPr>
          <w:rFonts w:ascii="Arial" w:hAnsi="Arial" w:eastAsia="Arial" w:cs="Arial"/>
          <w:sz w:val="24"/>
          <w:szCs w:val="24"/>
        </w:rPr>
      </w:pPr>
      <w:r>
        <w:rPr>
          <w:rFonts w:eastAsia="Arial" w:cs="Arial" w:ascii="Arial" w:hAnsi="Arial"/>
          <w:sz w:val="24"/>
          <w:szCs w:val="24"/>
        </w:rPr>
        <w:t>There is evidence that the imposition of price caps have been generally ineffective in achieving lower average energy prices, which condition will not be remedied by the extension of ISO’s authority to impose price caps;</w:t>
      </w:r>
    </w:p>
    <w:p>
      <w:pPr>
        <w:pStyle w:val="Normal"/>
        <w:numPr>
          <w:ilvl w:val="0"/>
          <w:numId w:val="2"/>
        </w:numPr>
        <w:tabs>
          <w:tab w:val="clear" w:pos="720"/>
          <w:tab w:val="left" w:pos="0" w:leader="none"/>
        </w:tabs>
        <w:spacing w:lineRule="auto" w:line="480"/>
        <w:ind w:firstLine="360" w:start="360" w:end="0"/>
        <w:jc w:val="both"/>
        <w:rPr>
          <w:rFonts w:ascii="Arial" w:hAnsi="Arial" w:eastAsia="Arial" w:cs="Arial"/>
          <w:sz w:val="24"/>
          <w:szCs w:val="24"/>
        </w:rPr>
      </w:pPr>
      <w:r>
        <w:rPr>
          <w:rFonts w:eastAsia="Arial" w:cs="Arial" w:ascii="Arial" w:hAnsi="Arial"/>
          <w:sz w:val="24"/>
          <w:szCs w:val="24"/>
        </w:rPr>
        <w:t>Market participants should instead focus on addressing the structural concerns of the California market;</w:t>
      </w:r>
    </w:p>
    <w:p>
      <w:pPr>
        <w:pStyle w:val="Normal"/>
        <w:numPr>
          <w:ilvl w:val="0"/>
          <w:numId w:val="2"/>
        </w:numPr>
        <w:tabs>
          <w:tab w:val="clear" w:pos="720"/>
          <w:tab w:val="left" w:pos="0" w:leader="none"/>
        </w:tabs>
        <w:spacing w:lineRule="auto" w:line="480"/>
        <w:ind w:firstLine="360" w:start="360" w:end="0"/>
        <w:jc w:val="both"/>
        <w:rPr>
          <w:rFonts w:ascii="Arial" w:hAnsi="Arial" w:eastAsia="Arial" w:cs="Arial"/>
          <w:sz w:val="24"/>
          <w:szCs w:val="24"/>
        </w:rPr>
      </w:pPr>
      <w:r>
        <w:rPr>
          <w:rFonts w:eastAsia="Arial" w:cs="Arial" w:ascii="Arial" w:hAnsi="Arial"/>
          <w:sz w:val="24"/>
          <w:szCs w:val="24"/>
        </w:rPr>
        <w:t>Price caps should not be permitted when ISO has declared a system emergency and is the only buyer in the market, because the Commission’s careful distinction between buyer’s price caps (which are allowed) and seller’s price caps (which are not) becomes irrelevant;</w:t>
      </w:r>
    </w:p>
    <w:p>
      <w:pPr>
        <w:pStyle w:val="Normal"/>
        <w:numPr>
          <w:ilvl w:val="0"/>
          <w:numId w:val="2"/>
        </w:numPr>
        <w:tabs>
          <w:tab w:val="clear" w:pos="720"/>
          <w:tab w:val="left" w:pos="0" w:leader="none"/>
        </w:tabs>
        <w:spacing w:lineRule="auto" w:line="480"/>
        <w:ind w:firstLine="360" w:start="360" w:end="0"/>
        <w:jc w:val="both"/>
        <w:rPr>
          <w:rFonts w:ascii="Arial" w:hAnsi="Arial" w:eastAsia="Arial" w:cs="Arial"/>
          <w:sz w:val="24"/>
          <w:szCs w:val="24"/>
        </w:rPr>
      </w:pPr>
      <w:r>
        <w:rPr>
          <w:rFonts w:eastAsia="Arial" w:cs="Arial" w:ascii="Arial" w:hAnsi="Arial"/>
          <w:sz w:val="24"/>
          <w:szCs w:val="24"/>
        </w:rPr>
        <w:t>ISO should not be permitted to extend its current price caps for an indefinite period.</w:t>
      </w:r>
    </w:p>
    <w:p>
      <w:pPr>
        <w:pStyle w:val="QA"/>
        <w:widowControl/>
        <w:spacing w:lineRule="auto" w:line="480"/>
        <w:ind w:hanging="0" w:start="0" w:end="0"/>
        <w:jc w:val="both"/>
        <w:rPr>
          <w:rFonts w:ascii="Arial" w:hAnsi="Arial" w:eastAsia="Arial" w:cs="Arial"/>
        </w:rPr>
      </w:pPr>
      <w:r>
        <w:rPr>
          <w:rFonts w:eastAsia="Arial" w:cs="Arial" w:ascii="Arial" w:hAnsi="Arial"/>
          <w:b/>
          <w:bCs/>
          <w:u w:val="single"/>
        </w:rPr>
        <w:t>Discussion</w:t>
      </w:r>
    </w:p>
    <w:p>
      <w:pPr>
        <w:pStyle w:val="QA"/>
        <w:widowControl/>
        <w:numPr>
          <w:ilvl w:val="0"/>
          <w:numId w:val="3"/>
        </w:numPr>
        <w:tabs>
          <w:tab w:val="clear" w:pos="1080"/>
          <w:tab w:val="left" w:pos="0" w:leader="none"/>
        </w:tabs>
        <w:spacing w:lineRule="auto" w:line="240"/>
        <w:ind w:hanging="360" w:start="1440" w:end="0"/>
        <w:jc w:val="both"/>
        <w:rPr>
          <w:rFonts w:ascii="Arial" w:hAnsi="Arial" w:eastAsia="Arial" w:cs="Arial"/>
          <w:b/>
          <w:bCs/>
          <w:u w:val="single"/>
        </w:rPr>
      </w:pPr>
      <w:r>
        <w:rPr>
          <w:rFonts w:eastAsia="Arial" w:cs="Arial" w:ascii="Arial" w:hAnsi="Arial"/>
          <w:b/>
          <w:bCs/>
          <w:u w:val="single"/>
        </w:rPr>
        <w:t>Price caps have been generally ineffective in achieving lower average energy prices and the ISO has not shown sufficient reason for the Commission to further extend its authority to impose price caps.</w:t>
      </w:r>
    </w:p>
    <w:p>
      <w:pPr>
        <w:pStyle w:val="QA"/>
        <w:widowControl/>
        <w:spacing w:lineRule="auto" w:line="240"/>
        <w:ind w:firstLine="720" w:start="0" w:end="0"/>
        <w:jc w:val="both"/>
        <w:rPr>
          <w:rFonts w:ascii="Arial" w:hAnsi="Arial" w:eastAsia="Arial" w:cs="Arial"/>
          <w:b/>
          <w:bCs/>
          <w:u w:val="single"/>
        </w:rPr>
      </w:pPr>
      <w:r>
        <w:rPr>
          <w:rFonts w:eastAsia="Arial" w:cs="Arial" w:ascii="Arial" w:hAnsi="Arial"/>
          <w:b/>
          <w:bCs/>
          <w:u w:val="single"/>
        </w:rPr>
      </w:r>
    </w:p>
    <w:p>
      <w:pPr>
        <w:pStyle w:val="Normal"/>
        <w:spacing w:lineRule="auto" w:line="480"/>
        <w:ind w:firstLine="720" w:end="0"/>
        <w:jc w:val="both"/>
        <w:rPr>
          <w:rFonts w:ascii="Arial" w:hAnsi="Arial" w:eastAsia="Arial" w:cs="Arial"/>
          <w:b/>
          <w:bCs/>
          <w:sz w:val="24"/>
          <w:szCs w:val="24"/>
        </w:rPr>
      </w:pPr>
      <w:r>
        <w:rPr>
          <w:rFonts w:eastAsia="Arial" w:cs="Arial" w:ascii="Arial" w:hAnsi="Arial"/>
          <w:sz w:val="24"/>
          <w:szCs w:val="24"/>
        </w:rPr>
        <w:t xml:space="preserve">On November 12, 1999, the Commission issued an Order </w:t>
      </w:r>
      <w:r>
        <w:rPr>
          <w:rStyle w:val="FootnoteCharacters"/>
          <w:rStyle w:val="FootnoteReference"/>
          <w:rFonts w:eastAsia="Arial" w:cs="Arial" w:ascii="Arial" w:hAnsi="Arial"/>
        </w:rPr>
        <w:footnoteReference w:id="5"/>
      </w:r>
      <w:r>
        <w:rPr>
          <w:rFonts w:eastAsia="Arial" w:cs="Arial" w:ascii="Arial" w:hAnsi="Arial"/>
          <w:sz w:val="24"/>
          <w:szCs w:val="24"/>
        </w:rPr>
        <w:t xml:space="preserve"> noting that it had previously expressed concerns “about the ISO retaining a purchase price cap.”  The Commission also specifically stated that, “a purchase price cap is not the ideal way to operating a competitive market.” </w:t>
      </w:r>
      <w:r>
        <w:rPr>
          <w:rStyle w:val="FootnoteCharacters"/>
          <w:rStyle w:val="FootnoteReference"/>
          <w:rFonts w:eastAsia="Arial" w:cs="Arial" w:ascii="Arial" w:hAnsi="Arial"/>
        </w:rPr>
        <w:footnoteReference w:id="6"/>
      </w:r>
      <w:r>
        <w:rPr>
          <w:rFonts w:eastAsia="Arial" w:cs="Arial" w:ascii="Arial" w:hAnsi="Arial"/>
          <w:sz w:val="24"/>
          <w:szCs w:val="24"/>
        </w:rPr>
        <w:t xml:space="preserve">  Although ISO indicated that its “strong preference would be to eliminate price caps completely in its Energy and Ancillary Services markets,” it now requests that the Commission again extend its authority to impose price caps.  ISO notes in its cover letter to Amendment No. 31 that it has “determined that it would be inappropriate, given current market conditions, to allow [its] authority to lapse” and that “the extension of price cap authority is necessary because of concerns that the California markets are not workably competitive during high load periods, and that measures to mitigate the resultant high prices are not yet adequately developed.”  However, the ISO has not introduced any convincing evidence that the extension of its price cap authority would assist in achieving a “workably competitive market.”</w:t>
      </w:r>
    </w:p>
    <w:p>
      <w:pPr>
        <w:pStyle w:val="Normal"/>
        <w:spacing w:lineRule="auto" w:line="480"/>
        <w:ind w:firstLine="720" w:end="0"/>
        <w:jc w:val="both"/>
        <w:rPr>
          <w:rFonts w:ascii="Arial" w:hAnsi="Arial" w:eastAsia="Arial" w:cs="Arial"/>
          <w:sz w:val="24"/>
          <w:szCs w:val="24"/>
        </w:rPr>
      </w:pPr>
      <w:r>
        <w:rPr>
          <w:rFonts w:eastAsia="Arial" w:cs="Arial" w:ascii="Arial" w:hAnsi="Arial"/>
          <w:sz w:val="24"/>
          <w:szCs w:val="24"/>
        </w:rPr>
        <w:t>In fact, the ISO’s Market Surveillance Committee published its “Analysis of the June 2000 Price Spikes in the California ISO’s Energy and Ancillary Services Markets” (the “Report”) on September 6, 2000.  Its Report stated that although it did not yet:</w:t>
      </w:r>
    </w:p>
    <w:p>
      <w:pPr>
        <w:pStyle w:val="Normal"/>
        <w:ind w:start="720" w:end="630"/>
        <w:jc w:val="both"/>
        <w:rPr/>
      </w:pPr>
      <w:r>
        <w:rPr>
          <w:rFonts w:eastAsia="Arial" w:cs="Arial" w:ascii="Arial" w:hAnsi="Arial"/>
          <w:sz w:val="24"/>
          <w:szCs w:val="24"/>
        </w:rPr>
        <w:t xml:space="preserve">have the ISO settlement data necessary to compute our indexes of market power for the months of July and August 2000, it is unlikely that a lower price cap during most of this two-month period reduced the extent of market power exercised.  </w:t>
      </w:r>
      <w:r>
        <w:rPr>
          <w:rFonts w:eastAsia="Arial" w:cs="Arial" w:ascii="Arial" w:hAnsi="Arial"/>
          <w:sz w:val="24"/>
          <w:szCs w:val="24"/>
          <w:u w:val="single"/>
        </w:rPr>
        <w:t>Monthly average energy prices during June 2000, when the price cap was $750/MWh, were lower than monthly average energy prices during August 2000, when the price cap was $250/MWh</w:t>
      </w:r>
      <w:r>
        <w:rPr>
          <w:rFonts w:eastAsia="Arial" w:cs="Arial" w:ascii="Arial" w:hAnsi="Arial"/>
          <w:sz w:val="24"/>
          <w:szCs w:val="24"/>
        </w:rPr>
        <w:t xml:space="preserve">.  This result occurred despite the fact that virtually the same amount of energy was consumed in California during these two months. </w:t>
      </w:r>
      <w:r>
        <w:rPr>
          <w:rStyle w:val="FootnoteCharacters"/>
          <w:rStyle w:val="FootnoteReference"/>
          <w:rFonts w:eastAsia="Arial" w:cs="Arial" w:ascii="Arial" w:hAnsi="Arial"/>
        </w:rPr>
        <w:footnoteReference w:id="7"/>
      </w:r>
      <w:r>
        <w:rPr>
          <w:rFonts w:eastAsia="Arial" w:cs="Arial" w:ascii="Arial" w:hAnsi="Arial"/>
          <w:sz w:val="24"/>
          <w:szCs w:val="24"/>
        </w:rPr>
        <w:t xml:space="preserve">  </w:t>
      </w:r>
    </w:p>
    <w:p>
      <w:pPr>
        <w:pStyle w:val="Normal"/>
        <w:ind w:start="720" w:end="630"/>
        <w:jc w:val="both"/>
        <w:rPr>
          <w:rFonts w:ascii="Arial" w:hAnsi="Arial" w:eastAsia="Arial" w:cs="Arial"/>
          <w:sz w:val="24"/>
          <w:szCs w:val="24"/>
        </w:rPr>
      </w:pPr>
      <w:r>
        <w:rPr>
          <w:rFonts w:eastAsia="Arial" w:cs="Arial" w:ascii="Arial" w:hAnsi="Arial"/>
          <w:sz w:val="24"/>
          <w:szCs w:val="24"/>
        </w:rPr>
      </w:r>
    </w:p>
    <w:p>
      <w:pPr>
        <w:pStyle w:val="Normal"/>
        <w:spacing w:lineRule="auto" w:line="480"/>
        <w:jc w:val="both"/>
        <w:rPr>
          <w:rFonts w:ascii="Arial" w:hAnsi="Arial" w:eastAsia="Arial" w:cs="Arial"/>
          <w:sz w:val="24"/>
          <w:szCs w:val="24"/>
        </w:rPr>
      </w:pPr>
      <w:r>
        <w:rPr>
          <w:rFonts w:eastAsia="Arial" w:cs="Arial" w:ascii="Arial" w:hAnsi="Arial"/>
          <w:sz w:val="24"/>
          <w:szCs w:val="24"/>
        </w:rPr>
        <w:t>Report at pp. 16-17 (emphasis added).</w:t>
      </w:r>
    </w:p>
    <w:p>
      <w:pPr>
        <w:pStyle w:val="Normal"/>
        <w:spacing w:lineRule="auto" w:line="480"/>
        <w:ind w:firstLine="720" w:end="0"/>
        <w:jc w:val="both"/>
        <w:rPr/>
      </w:pPr>
      <w:r>
        <w:rPr>
          <w:rFonts w:eastAsia="Arial" w:cs="Arial" w:ascii="Arial" w:hAnsi="Arial"/>
          <w:sz w:val="24"/>
          <w:szCs w:val="24"/>
        </w:rPr>
        <w:t xml:space="preserve">Further, on September 8, 2000, the California Public Utilities Commission (“CPUC”) held a quasi-legislative hearing regarding the recent high prices observed in the California wholesale market.  A series of witnesses, including representatives of the California Power Exchange (“PX”) and the ISO testified at the request of the CPUC.  One such witness was Anjali Sheffrin, Director, Market Analysis for ISO.  As evidenced by the testimony of Ms. Sheffrin, the imposition of lower price caps by ISO has had the unintended result of causing total energy costs to </w:t>
      </w:r>
      <w:r>
        <w:rPr>
          <w:rFonts w:eastAsia="Arial" w:cs="Arial" w:ascii="Arial" w:hAnsi="Arial"/>
          <w:sz w:val="24"/>
          <w:szCs w:val="24"/>
          <w:u w:val="single"/>
        </w:rPr>
        <w:t>increase</w:t>
      </w:r>
      <w:r>
        <w:rPr>
          <w:rFonts w:eastAsia="Arial" w:cs="Arial" w:ascii="Arial" w:hAnsi="Arial"/>
          <w:sz w:val="24"/>
          <w:szCs w:val="24"/>
        </w:rPr>
        <w:t xml:space="preserve">.  Ms. Sheffrin’s charts indicated that the total energy cost in July, when ISO purchase price caps were set at $500/MWh, was $117.77/MWh.  Conversely, in August, when the ISO’s reduced purchase price cap of $250/MWh went into effect, the total cost per MWh </w:t>
      </w:r>
      <w:r>
        <w:rPr>
          <w:rFonts w:eastAsia="Arial" w:cs="Arial" w:ascii="Arial" w:hAnsi="Arial"/>
          <w:sz w:val="24"/>
          <w:szCs w:val="24"/>
          <w:u w:val="single"/>
        </w:rPr>
        <w:t>increased by 52.9%,</w:t>
      </w:r>
      <w:r>
        <w:rPr>
          <w:rFonts w:eastAsia="Arial" w:cs="Arial" w:ascii="Arial" w:hAnsi="Arial"/>
          <w:sz w:val="24"/>
          <w:szCs w:val="24"/>
        </w:rPr>
        <w:t xml:space="preserve"> to $180.07.  </w:t>
      </w:r>
    </w:p>
    <w:p>
      <w:pPr>
        <w:pStyle w:val="Normal"/>
        <w:spacing w:lineRule="auto" w:line="480"/>
        <w:ind w:firstLine="720" w:end="0"/>
        <w:jc w:val="both"/>
        <w:rPr>
          <w:rFonts w:ascii="Arial" w:hAnsi="Arial" w:eastAsia="Arial" w:cs="Arial"/>
          <w:sz w:val="24"/>
          <w:szCs w:val="24"/>
        </w:rPr>
      </w:pPr>
      <w:r>
        <w:rPr>
          <w:rFonts w:eastAsia="Arial" w:cs="Arial" w:ascii="Arial" w:hAnsi="Arial"/>
          <w:sz w:val="24"/>
          <w:szCs w:val="24"/>
        </w:rPr>
        <w:t xml:space="preserve">Contrary to ISO’s statements, the evidence indicates that price caps are harmful, not helpful, to the California market.  The unfortunate reality is, however, that, due to the political nature of California energy debates, FERC-regulated entities are subject to unremitting pressure from California legislative and regulatory authorities.  This pressure is leading to a compromise of these entities’ independence as well as the repeated submission of economically irrational price cap proposals that have not been shown to be effective in decreasing average energy prices.  </w:t>
      </w:r>
    </w:p>
    <w:p>
      <w:pPr>
        <w:pStyle w:val="QA"/>
        <w:widowControl/>
        <w:spacing w:lineRule="auto" w:line="480"/>
        <w:ind w:hanging="0" w:end="0"/>
        <w:jc w:val="both"/>
        <w:rPr>
          <w:rFonts w:ascii="Arial" w:hAnsi="Arial" w:eastAsia="Arial" w:cs="Arial"/>
        </w:rPr>
      </w:pPr>
      <w:r>
        <w:rPr>
          <w:rFonts w:eastAsia="Arial" w:cs="Arial" w:ascii="Arial" w:hAnsi="Arial"/>
          <w:b/>
          <w:bCs/>
        </w:rPr>
        <w:t>2.</w:t>
        <w:tab/>
        <w:tab/>
      </w:r>
      <w:r>
        <w:rPr>
          <w:rFonts w:eastAsia="Arial" w:cs="Arial" w:ascii="Arial" w:hAnsi="Arial"/>
          <w:b/>
          <w:bCs/>
          <w:u w:val="single"/>
        </w:rPr>
        <w:t>Structural change is required.</w:t>
      </w:r>
    </w:p>
    <w:p>
      <w:pPr>
        <w:pStyle w:val="Normal"/>
        <w:spacing w:lineRule="auto" w:line="480"/>
        <w:ind w:firstLine="720" w:end="0"/>
        <w:jc w:val="both"/>
        <w:rPr>
          <w:rFonts w:ascii="Arial" w:hAnsi="Arial" w:eastAsia="Arial" w:cs="Arial"/>
          <w:sz w:val="24"/>
          <w:szCs w:val="24"/>
        </w:rPr>
      </w:pPr>
      <w:r>
        <w:rPr>
          <w:rFonts w:eastAsia="Arial" w:cs="Arial" w:ascii="Arial" w:hAnsi="Arial"/>
          <w:sz w:val="24"/>
          <w:szCs w:val="24"/>
        </w:rPr>
        <w:t>As should each proposal that comes before the Commission, the ISO proposal should be focused on correcting the fundamental structural issues that have contributed to high wholesale prices in California.  The efforts of all market participants would be much better spent working on structural remedies, as opposed to repeatedly debating price cap proposals that have proven to be ineffective.  The importance of focusing on structural issues was acknowledged by the Commission in its Order Initiating Hearing Proceedings to Investigate Justness and Reasonableness of Rates of Public Utility Sellers in California ISO and PX Markets and To Investigate ISO and PX Tariffs, Contracts, Institutional Structures and Bylaws; and Providing Further Guidance to California Entities, issued on August 23, 2000 (the “August 23 Order”).  That Order concluded that:</w:t>
      </w:r>
    </w:p>
    <w:p>
      <w:pPr>
        <w:pStyle w:val="Normal"/>
        <w:ind w:start="720" w:end="720"/>
        <w:jc w:val="both"/>
        <w:rPr/>
      </w:pPr>
      <w:r>
        <w:rPr>
          <w:rFonts w:eastAsia="Arial" w:cs="Arial" w:ascii="Arial" w:hAnsi="Arial"/>
          <w:sz w:val="24"/>
          <w:szCs w:val="24"/>
        </w:rPr>
        <w:t xml:space="preserve">it is appropriate to investigate not only the justness and reasonableness of public utility sellers' rates in the PX and ISO markets but also to </w:t>
      </w:r>
      <w:r>
        <w:rPr>
          <w:rFonts w:eastAsia="Arial" w:cs="Arial" w:ascii="Arial" w:hAnsi="Arial"/>
          <w:sz w:val="24"/>
          <w:szCs w:val="24"/>
          <w:u w:val="single"/>
        </w:rPr>
        <w:t>investigate the tariffs and agreements of the ISO and PX to determine whether market rules or institutional factors embodied in those tariffs and agreements need to be modified</w:t>
      </w:r>
      <w:r>
        <w:rPr>
          <w:rFonts w:eastAsia="Arial" w:cs="Arial" w:ascii="Arial" w:hAnsi="Arial"/>
          <w:sz w:val="24"/>
          <w:szCs w:val="24"/>
        </w:rPr>
        <w:t>.</w:t>
      </w:r>
    </w:p>
    <w:p>
      <w:pPr>
        <w:pStyle w:val="Normal"/>
        <w:ind w:start="720" w:end="720"/>
        <w:jc w:val="both"/>
        <w:rPr>
          <w:rFonts w:ascii="Arial" w:hAnsi="Arial" w:eastAsia="Arial" w:cs="Arial"/>
          <w:sz w:val="24"/>
          <w:szCs w:val="24"/>
        </w:rPr>
      </w:pPr>
      <w:r>
        <w:rPr>
          <w:rFonts w:eastAsia="Arial" w:cs="Arial" w:ascii="Arial" w:hAnsi="Arial"/>
          <w:sz w:val="24"/>
          <w:szCs w:val="24"/>
        </w:rPr>
      </w:r>
    </w:p>
    <w:p>
      <w:pPr>
        <w:pStyle w:val="Normal"/>
        <w:ind w:hanging="720" w:start="720" w:end="720"/>
        <w:jc w:val="both"/>
        <w:rPr>
          <w:rFonts w:ascii="Arial" w:hAnsi="Arial" w:eastAsia="Arial" w:cs="Arial"/>
          <w:sz w:val="24"/>
          <w:szCs w:val="24"/>
        </w:rPr>
      </w:pPr>
      <w:r>
        <w:rPr>
          <w:rFonts w:eastAsia="Arial" w:cs="Arial" w:ascii="Arial" w:hAnsi="Arial"/>
          <w:sz w:val="24"/>
          <w:szCs w:val="24"/>
        </w:rPr>
        <w:t>August 23 Order, slip op. at pp. 7-8 (emphasis added).</w:t>
      </w:r>
    </w:p>
    <w:p>
      <w:pPr>
        <w:pStyle w:val="Normal"/>
        <w:ind w:firstLine="720" w:end="0"/>
        <w:jc w:val="both"/>
        <w:rPr>
          <w:rFonts w:ascii="Arial" w:hAnsi="Arial" w:eastAsia="Arial" w:cs="Arial"/>
          <w:sz w:val="24"/>
          <w:szCs w:val="24"/>
        </w:rPr>
      </w:pPr>
      <w:r>
        <w:rPr>
          <w:rFonts w:eastAsia="Arial" w:cs="Arial" w:ascii="Arial" w:hAnsi="Arial"/>
          <w:sz w:val="24"/>
          <w:szCs w:val="24"/>
        </w:rPr>
      </w:r>
    </w:p>
    <w:p>
      <w:pPr>
        <w:pStyle w:val="BodyText3"/>
        <w:ind w:firstLine="720" w:end="0"/>
        <w:rPr/>
      </w:pPr>
      <w:r>
        <w:rPr/>
        <w:t xml:space="preserve">WPTF supports the efforts of this Commission to investigate the structural issues in the California marketplace which have contributed to high wholesale prices and looks forward to participating in the Section 206 investigation which was instituted by the Commission’s August 23 Order.  </w:t>
      </w:r>
    </w:p>
    <w:p>
      <w:pPr>
        <w:pStyle w:val="Normal"/>
        <w:spacing w:lineRule="auto" w:line="480"/>
        <w:ind w:firstLine="720" w:end="0"/>
        <w:jc w:val="both"/>
        <w:rPr>
          <w:rFonts w:ascii="Arial" w:hAnsi="Arial" w:eastAsia="Arial" w:cs="Arial"/>
          <w:sz w:val="24"/>
          <w:szCs w:val="24"/>
        </w:rPr>
      </w:pPr>
      <w:r>
        <w:rPr>
          <w:rFonts w:eastAsia="Arial" w:cs="Arial" w:ascii="Arial" w:hAnsi="Arial"/>
          <w:b/>
          <w:bCs/>
          <w:sz w:val="24"/>
          <w:szCs w:val="24"/>
        </w:rPr>
        <w:t xml:space="preserve">3.  </w:t>
      </w:r>
      <w:r>
        <w:rPr>
          <w:rFonts w:eastAsia="Arial" w:cs="Arial" w:ascii="Arial" w:hAnsi="Arial"/>
          <w:b/>
          <w:bCs/>
          <w:sz w:val="24"/>
          <w:szCs w:val="24"/>
          <w:u w:val="single"/>
        </w:rPr>
        <w:t>The ISO price cap should not apply during system emergencies.</w:t>
      </w:r>
    </w:p>
    <w:p>
      <w:pPr>
        <w:pStyle w:val="Normal"/>
        <w:spacing w:lineRule="auto" w:line="480"/>
        <w:ind w:firstLine="720" w:end="0"/>
        <w:jc w:val="both"/>
        <w:rPr>
          <w:rFonts w:ascii="Arial" w:hAnsi="Arial" w:eastAsia="Arial" w:cs="Arial"/>
          <w:sz w:val="24"/>
          <w:szCs w:val="24"/>
        </w:rPr>
      </w:pPr>
      <w:r>
        <w:rPr>
          <w:rFonts w:eastAsia="Arial" w:cs="Arial" w:ascii="Arial" w:hAnsi="Arial"/>
          <w:sz w:val="24"/>
          <w:szCs w:val="24"/>
        </w:rPr>
        <w:t>WPTF notes that, in the case of a system emergency, the ISO Tariff permits ISO to commandeer power in order to handle the emergency.  Section 5.6 of the ISO Tariff states as follows:</w:t>
      </w:r>
    </w:p>
    <w:p>
      <w:pPr>
        <w:pStyle w:val="Normal"/>
        <w:ind w:start="720" w:end="792"/>
        <w:rPr>
          <w:rFonts w:ascii="Arial" w:hAnsi="Arial" w:eastAsia="Arial" w:cs="Arial"/>
          <w:sz w:val="24"/>
          <w:szCs w:val="24"/>
        </w:rPr>
      </w:pPr>
      <w:r>
        <w:rPr>
          <w:rFonts w:eastAsia="Arial" w:cs="Arial" w:ascii="Arial" w:hAnsi="Arial"/>
          <w:sz w:val="24"/>
          <w:szCs w:val="24"/>
        </w:rPr>
        <w:t xml:space="preserve">5.6.1  All Generating Units, System Units and System Resources that are owned or controlled by a Participating Generator are (without limitation to the ISO’s other rights under this ISO Tariff) subject to control by the ISO during a System Emergency and in circumstances in which the ISO considers that a System Emergency is imminent or threatened. The ISO shall, subject to Section 5.6.2, have the authority to instruct a Participating Generator to bring its Generating Unit on-line, off-line, or increase or curtail the output of the Generating Unit and to alter scheduled deliveries of Energy and Ancillary Services into or out of the ISO Controlled Grid, if such an instruction is reasonably necessary to prevent an imminent or threatened System Emergency or to retain Operational Control over the ISO Controlled Grid during an actual System Emergency. </w:t>
      </w:r>
    </w:p>
    <w:p>
      <w:pPr>
        <w:pStyle w:val="Normal"/>
        <w:ind w:start="720" w:end="792"/>
        <w:rPr>
          <w:rFonts w:ascii="Arial" w:hAnsi="Arial" w:eastAsia="Arial" w:cs="Arial"/>
          <w:sz w:val="24"/>
          <w:szCs w:val="24"/>
        </w:rPr>
      </w:pPr>
      <w:r>
        <w:rPr>
          <w:rFonts w:eastAsia="Arial" w:cs="Arial" w:ascii="Arial" w:hAnsi="Arial"/>
          <w:sz w:val="24"/>
          <w:szCs w:val="24"/>
        </w:rPr>
      </w:r>
    </w:p>
    <w:p>
      <w:pPr>
        <w:pStyle w:val="Normal"/>
        <w:ind w:start="720" w:end="792"/>
        <w:rPr>
          <w:rFonts w:ascii="Arial" w:hAnsi="Arial" w:eastAsia="Arial" w:cs="Arial"/>
          <w:sz w:val="24"/>
          <w:szCs w:val="24"/>
        </w:rPr>
      </w:pPr>
      <w:r>
        <w:rPr>
          <w:rFonts w:eastAsia="Arial" w:cs="Arial" w:ascii="Arial" w:hAnsi="Arial"/>
          <w:sz w:val="24"/>
          <w:szCs w:val="24"/>
        </w:rPr>
        <w:t>5.6.2  The ISO shall, where reasonably practicable, utilize Ancillary Services which it has the contractual right to instruct and which are capable of contributing to containing or correcting the actual, imminent or threatened System Emergency prior to issuing instructions to a Participating Generator under Section 5.6.1.</w:t>
      </w:r>
    </w:p>
    <w:p>
      <w:pPr>
        <w:pStyle w:val="Normal"/>
        <w:ind w:firstLine="720" w:end="0"/>
        <w:jc w:val="both"/>
        <w:rPr>
          <w:rFonts w:ascii="Arial" w:hAnsi="Arial" w:eastAsia="Arial" w:cs="Arial"/>
          <w:sz w:val="24"/>
          <w:szCs w:val="24"/>
        </w:rPr>
      </w:pPr>
      <w:r>
        <w:rPr>
          <w:rFonts w:eastAsia="Arial" w:cs="Arial" w:ascii="Arial" w:hAnsi="Arial"/>
          <w:sz w:val="24"/>
          <w:szCs w:val="24"/>
        </w:rPr>
      </w:r>
    </w:p>
    <w:p>
      <w:pPr>
        <w:pStyle w:val="Normal"/>
        <w:spacing w:lineRule="auto" w:line="480"/>
        <w:rPr>
          <w:rFonts w:ascii="Arial" w:hAnsi="Arial" w:eastAsia="Arial" w:cs="Arial"/>
          <w:sz w:val="24"/>
          <w:szCs w:val="24"/>
        </w:rPr>
      </w:pPr>
      <w:r>
        <w:rPr>
          <w:rFonts w:eastAsia="Arial" w:cs="Arial" w:ascii="Arial" w:hAnsi="Arial"/>
          <w:sz w:val="24"/>
          <w:szCs w:val="24"/>
        </w:rPr>
        <w:t>ISO Tariff at p. 147.  The term “Participating Generator”, as used above, is defined in the Appendix to ISO’s Tariff as “[a] Generator or other seller of Energy or Ancillary Services through a Scheduling Coordinator over the ISO Controlled Grid, which has undertaken to be bound by the terms of the ISO Tariff, in the case of a Generator through a Participating Generator Agreement.”</w:t>
      </w:r>
    </w:p>
    <w:p>
      <w:pPr>
        <w:pStyle w:val="Normal"/>
        <w:spacing w:lineRule="auto" w:line="480"/>
        <w:ind w:firstLine="720" w:end="0"/>
        <w:jc w:val="both"/>
        <w:rPr/>
      </w:pPr>
      <w:r>
        <w:rPr>
          <w:rFonts w:eastAsia="Arial" w:cs="Arial" w:ascii="Arial" w:hAnsi="Arial"/>
          <w:sz w:val="24"/>
          <w:szCs w:val="24"/>
        </w:rPr>
        <w:t xml:space="preserve">At such a point, the ISO becomes a monopsony buyer because it is the </w:t>
      </w:r>
      <w:r>
        <w:rPr>
          <w:rFonts w:eastAsia="Arial" w:cs="Arial" w:ascii="Arial" w:hAnsi="Arial"/>
          <w:b/>
          <w:bCs/>
          <w:sz w:val="24"/>
          <w:szCs w:val="24"/>
        </w:rPr>
        <w:t xml:space="preserve">only </w:t>
      </w:r>
      <w:r>
        <w:rPr>
          <w:rFonts w:eastAsia="Arial" w:cs="Arial" w:ascii="Arial" w:hAnsi="Arial"/>
          <w:sz w:val="24"/>
          <w:szCs w:val="24"/>
        </w:rPr>
        <w:t>buyer.  The Commission has previously drawn a fine line between price caps imposed on buyers and those proposed for sellers.  In fact, on August 2, 2000, San Diego Gas &amp; Electric Company (“SDG&amp;E”) filed a complaint pursuant to Rule 206 of the Commission’s Rules of Practice and Procedure.  The complaint asked the Commission for an emergency order capping the prices at which sellers may bid energy or ancillary services to ISO or the PX at $250 per MWh.</w:t>
      </w:r>
    </w:p>
    <w:p>
      <w:pPr>
        <w:pStyle w:val="Normal"/>
        <w:spacing w:lineRule="auto" w:line="480"/>
        <w:ind w:firstLine="720" w:end="0"/>
        <w:jc w:val="both"/>
        <w:rPr/>
      </w:pPr>
      <w:r>
        <w:rPr>
          <w:rFonts w:eastAsia="Arial" w:cs="Arial" w:ascii="Arial" w:hAnsi="Arial"/>
          <w:sz w:val="24"/>
          <w:szCs w:val="24"/>
        </w:rPr>
        <w:t xml:space="preserve">In response to that complaint, the Commission issued its August 23 Order denying SDG&amp;E’s complaint.  The August 23 Order clearly distinguished between the imposition of a </w:t>
      </w:r>
      <w:r>
        <w:rPr>
          <w:rFonts w:eastAsia="Arial" w:cs="Arial" w:ascii="Arial" w:hAnsi="Arial"/>
          <w:sz w:val="24"/>
          <w:szCs w:val="24"/>
          <w:u w:val="single"/>
        </w:rPr>
        <w:t>sellers’ price cap</w:t>
      </w:r>
      <w:r>
        <w:rPr>
          <w:rFonts w:eastAsia="Arial" w:cs="Arial" w:ascii="Arial" w:hAnsi="Arial"/>
          <w:sz w:val="24"/>
          <w:szCs w:val="24"/>
        </w:rPr>
        <w:t xml:space="preserve"> and the right of the ISO to set its </w:t>
      </w:r>
      <w:r>
        <w:rPr>
          <w:rFonts w:eastAsia="Arial" w:cs="Arial" w:ascii="Arial" w:hAnsi="Arial"/>
          <w:sz w:val="24"/>
          <w:szCs w:val="24"/>
          <w:u w:val="single"/>
        </w:rPr>
        <w:t>purchase price cap</w:t>
      </w:r>
      <w:r>
        <w:rPr>
          <w:rFonts w:eastAsia="Arial" w:cs="Arial" w:ascii="Arial" w:hAnsi="Arial"/>
          <w:sz w:val="24"/>
          <w:szCs w:val="24"/>
        </w:rPr>
        <w:t xml:space="preserve"> at $250/MWH.  The imposition of a sellers’ price cap, as proposed by SDG&amp;E, was clearly rejected.  The maintenance of a buyer’s purchase price cap, however, was not disturbed, </w:t>
      </w:r>
      <w:r>
        <w:rPr>
          <w:rFonts w:eastAsia="Arial" w:cs="Arial" w:ascii="Arial" w:hAnsi="Arial"/>
          <w:sz w:val="24"/>
          <w:szCs w:val="24"/>
          <w:u w:val="single"/>
        </w:rPr>
        <w:t>see</w:t>
      </w:r>
      <w:r>
        <w:rPr>
          <w:rFonts w:eastAsia="Arial" w:cs="Arial" w:ascii="Arial" w:hAnsi="Arial"/>
          <w:sz w:val="24"/>
          <w:szCs w:val="24"/>
        </w:rPr>
        <w:t xml:space="preserve">, </w:t>
      </w:r>
      <w:r>
        <w:rPr>
          <w:rFonts w:eastAsia="Arial" w:cs="Arial" w:ascii="Arial" w:hAnsi="Arial"/>
          <w:sz w:val="24"/>
          <w:szCs w:val="24"/>
          <w:u w:val="single"/>
        </w:rPr>
        <w:t>Morgan Stanley Capital Group, Inc. v. California Independent System Operator Corp.</w:t>
      </w:r>
      <w:r>
        <w:rPr>
          <w:rFonts w:eastAsia="Arial" w:cs="Arial" w:ascii="Arial" w:hAnsi="Arial"/>
          <w:sz w:val="24"/>
          <w:szCs w:val="24"/>
        </w:rPr>
        <w:t>, 92 FERC ¶ 61,112 (2000).</w:t>
      </w:r>
    </w:p>
    <w:p>
      <w:pPr>
        <w:pStyle w:val="Normal"/>
        <w:spacing w:lineRule="auto" w:line="480"/>
        <w:ind w:firstLine="720" w:end="0"/>
        <w:jc w:val="both"/>
        <w:rPr>
          <w:rFonts w:ascii="Arial" w:hAnsi="Arial" w:eastAsia="Arial" w:cs="Arial"/>
          <w:sz w:val="24"/>
          <w:szCs w:val="24"/>
        </w:rPr>
      </w:pPr>
      <w:r>
        <w:rPr>
          <w:rFonts w:eastAsia="Arial" w:cs="Arial" w:ascii="Arial" w:hAnsi="Arial"/>
          <w:sz w:val="24"/>
          <w:szCs w:val="24"/>
        </w:rPr>
        <w:t>However, in a system emergency situation, this careful distinction between buyers and sellers becomes irrelevant.  Thus, WPTF requests that, in the event the Commission determines that it will extend ISO’s authority to impose purchaser’s price caps, it will carve out an exception in the case of a system emergency where the ISO is able to mandate that sellers sell to it.</w:t>
      </w:r>
    </w:p>
    <w:p>
      <w:pPr>
        <w:pStyle w:val="Normal"/>
        <w:widowControl/>
        <w:ind w:hanging="360" w:start="1080" w:end="0"/>
        <w:rPr/>
      </w:pPr>
      <w:r>
        <w:rPr>
          <w:rFonts w:eastAsia="Arial" w:cs="Arial" w:ascii="Arial" w:hAnsi="Arial"/>
          <w:b/>
          <w:bCs/>
          <w:sz w:val="24"/>
          <w:szCs w:val="24"/>
        </w:rPr>
        <w:t xml:space="preserve">4.  </w:t>
      </w:r>
      <w:r>
        <w:rPr>
          <w:rFonts w:eastAsia="Arial" w:cs="Arial" w:ascii="Arial" w:hAnsi="Arial"/>
          <w:b/>
          <w:bCs/>
          <w:sz w:val="24"/>
          <w:szCs w:val="24"/>
          <w:u w:val="single"/>
        </w:rPr>
        <w:t>ISO should not be granted an indefinite extension of its price cap authority.</w:t>
      </w:r>
    </w:p>
    <w:p>
      <w:pPr>
        <w:pStyle w:val="Normal"/>
        <w:widowControl/>
        <w:ind w:hanging="360" w:start="1080" w:end="0"/>
        <w:rPr>
          <w:rFonts w:ascii="Arial" w:hAnsi="Arial" w:eastAsia="Arial" w:cs="Arial"/>
          <w:b/>
          <w:bCs/>
          <w:sz w:val="24"/>
          <w:szCs w:val="24"/>
          <w:u w:val="single"/>
        </w:rPr>
      </w:pPr>
      <w:r>
        <w:rPr>
          <w:rFonts w:eastAsia="Arial" w:cs="Arial" w:ascii="Arial" w:hAnsi="Arial"/>
          <w:b/>
          <w:bCs/>
          <w:sz w:val="24"/>
          <w:szCs w:val="24"/>
          <w:u w:val="single"/>
        </w:rPr>
      </w:r>
    </w:p>
    <w:p>
      <w:pPr>
        <w:pStyle w:val="Normal"/>
        <w:spacing w:lineRule="auto" w:line="480"/>
        <w:ind w:firstLine="720" w:end="0"/>
        <w:jc w:val="both"/>
        <w:rPr>
          <w:rFonts w:ascii="Arial" w:hAnsi="Arial" w:eastAsia="Arial" w:cs="Arial"/>
          <w:sz w:val="24"/>
          <w:szCs w:val="24"/>
        </w:rPr>
      </w:pPr>
      <w:r>
        <w:rPr>
          <w:rFonts w:eastAsia="Arial" w:cs="Arial" w:ascii="Arial" w:hAnsi="Arial"/>
          <w:sz w:val="24"/>
          <w:szCs w:val="24"/>
        </w:rPr>
        <w:t>In its September 14, 2000, cover letter, ISO states that, “[n]otwithstanding the Commission’s recognition that the ISO’s authority to establish ceiling prices in its markets derives from its status as a purchaser, that authority, as described in Section 28 of the ISO Tariff, is currently limited to the period extending through November 15, 2000. For the reasons described below, the ISO has determined that it would be inappropriate, given current market conditions, to allow that authority to lapse. The ISO is accordingly submitting this amendment to remove the termination date currently included in Section 28.”  This is a departure from prior practice, where the Commission has only authorized price caps for ISO for carefully limited periods.  Now, however, ISO seeks an indefinite extension with no specified sunset date.  This should not be permitted.  Moreover, it is not even what was recommended by ISO’s own Department of Market Analysis (“DMA”).</w:t>
      </w:r>
    </w:p>
    <w:p>
      <w:pPr>
        <w:pStyle w:val="Normal"/>
        <w:spacing w:lineRule="auto" w:line="480"/>
        <w:ind w:firstLine="720" w:end="0"/>
        <w:jc w:val="both"/>
        <w:rPr>
          <w:rFonts w:ascii="Arial" w:hAnsi="Arial" w:eastAsia="Arial" w:cs="Arial"/>
          <w:b/>
          <w:bCs/>
          <w:sz w:val="24"/>
          <w:szCs w:val="24"/>
          <w:u w:val="single"/>
        </w:rPr>
      </w:pPr>
      <w:r>
        <w:rPr>
          <w:rFonts w:eastAsia="Arial" w:cs="Arial" w:ascii="Arial" w:hAnsi="Arial"/>
          <w:sz w:val="24"/>
          <w:szCs w:val="24"/>
        </w:rPr>
        <w:t>As noted at page 4 of the ISO cover letter which accompanied its filing, “[t]he DMA recommended that the ISO’s price cap authority be extended until a comprehensive market reform proposal is implemented to address mitigation measures for global and locational market power.”</w:t>
      </w:r>
      <w:r>
        <w:rPr>
          <w:rStyle w:val="FootnoteCharacters"/>
          <w:rStyle w:val="FootnoteReference"/>
          <w:rFonts w:eastAsia="Arial" w:cs="Arial" w:ascii="Arial" w:hAnsi="Arial"/>
        </w:rPr>
        <w:footnoteReference w:id="8"/>
      </w:r>
      <w:r>
        <w:rPr>
          <w:rFonts w:eastAsia="Arial" w:cs="Arial" w:ascii="Arial" w:hAnsi="Arial"/>
          <w:sz w:val="24"/>
          <w:szCs w:val="24"/>
        </w:rPr>
        <w:t xml:space="preserve">  Despite this clear recommendation from its own staff, the ISO does not seek to limit the effectiveness of its price caps until such time as comprehensive market reform has been implemented.   Where the ISO has not acted, the Commission should, by authorizing no more than a six-month continuation of the existing ISO price caps and directing the ISO to move forward expeditiously with meaningful comprehensive market reform.</w:t>
      </w:r>
    </w:p>
    <w:p>
      <w:pPr>
        <w:pStyle w:val="Normal"/>
        <w:widowControl/>
        <w:spacing w:lineRule="auto" w:line="480"/>
        <w:ind w:firstLine="720" w:end="0"/>
        <w:rPr>
          <w:rFonts w:ascii="Arial" w:hAnsi="Arial" w:eastAsia="Arial" w:cs="Arial"/>
          <w:b/>
          <w:bCs/>
          <w:sz w:val="24"/>
          <w:szCs w:val="24"/>
          <w:u w:val="single"/>
        </w:rPr>
      </w:pPr>
      <w:r>
        <w:rPr>
          <w:rFonts w:eastAsia="Arial" w:cs="Arial" w:ascii="Arial" w:hAnsi="Arial"/>
          <w:b/>
          <w:bCs/>
          <w:sz w:val="24"/>
          <w:szCs w:val="24"/>
          <w:u w:val="single"/>
        </w:rPr>
        <w:t>Conclusion</w:t>
      </w:r>
    </w:p>
    <w:p>
      <w:pPr>
        <w:pStyle w:val="Normal"/>
        <w:spacing w:lineRule="auto" w:line="480"/>
        <w:ind w:firstLine="720" w:end="0"/>
        <w:jc w:val="both"/>
        <w:rPr>
          <w:rFonts w:ascii="Arial" w:hAnsi="Arial" w:eastAsia="Arial" w:cs="Arial"/>
          <w:sz w:val="24"/>
          <w:szCs w:val="24"/>
        </w:rPr>
      </w:pPr>
      <w:r>
        <w:rPr>
          <w:rFonts w:eastAsia="Arial" w:cs="Arial" w:ascii="Arial" w:hAnsi="Arial"/>
          <w:sz w:val="24"/>
          <w:szCs w:val="24"/>
        </w:rPr>
        <w:t>WPTF believes that there is abundant evidence to support the contention that price caps will lead to higher, rather than lower prices.  The ISO has not demonstrated that an extension of its authority to impose price caps will have any positive effect on the California market.  WPTF submits that the Commission, as well as market participants, would do well to concentrate more on addressing the structural concerns of the California market to ultimately achieve lower wholesale prices.</w:t>
      </w:r>
    </w:p>
    <w:p>
      <w:pPr>
        <w:pStyle w:val="Normal"/>
        <w:spacing w:lineRule="auto" w:line="480"/>
        <w:ind w:firstLine="720" w:end="0"/>
        <w:jc w:val="both"/>
        <w:rPr>
          <w:rFonts w:ascii="Arial" w:hAnsi="Arial" w:eastAsia="Arial" w:cs="Arial"/>
          <w:sz w:val="24"/>
          <w:szCs w:val="24"/>
        </w:rPr>
      </w:pPr>
      <w:r>
        <w:rPr>
          <w:rFonts w:eastAsia="Arial" w:cs="Arial" w:ascii="Arial" w:hAnsi="Arial"/>
          <w:sz w:val="24"/>
          <w:szCs w:val="24"/>
        </w:rPr>
        <w:t>Thus, for the foregoing reasons, WPTF opposes ISO’s Amendment No. 31 to the ISO Tariff and recommends that it be rejected by the Commission.  In the event the Commission should determine to approve a further extension of the existing price cap authority, the extension should be conditioned to:</w:t>
      </w:r>
    </w:p>
    <w:p>
      <w:pPr>
        <w:pStyle w:val="Normal"/>
        <w:spacing w:lineRule="auto" w:line="480"/>
        <w:ind w:firstLine="720" w:end="0"/>
        <w:jc w:val="both"/>
        <w:rPr>
          <w:rFonts w:ascii="Arial" w:hAnsi="Arial" w:eastAsia="Arial" w:cs="Arial"/>
          <w:sz w:val="24"/>
          <w:szCs w:val="24"/>
        </w:rPr>
      </w:pPr>
      <w:r>
        <w:rPr>
          <w:rFonts w:eastAsia="Arial" w:cs="Arial" w:ascii="Arial" w:hAnsi="Arial"/>
          <w:sz w:val="24"/>
          <w:szCs w:val="24"/>
        </w:rPr>
      </w:r>
    </w:p>
    <w:p>
      <w:pPr>
        <w:pStyle w:val="Normal"/>
        <w:numPr>
          <w:ilvl w:val="0"/>
          <w:numId w:val="4"/>
        </w:numPr>
        <w:tabs>
          <w:tab w:val="clear" w:pos="720"/>
          <w:tab w:val="left" w:pos="0" w:leader="none"/>
        </w:tabs>
        <w:spacing w:lineRule="auto" w:line="480"/>
        <w:ind w:hanging="720" w:start="1440" w:end="0"/>
        <w:jc w:val="both"/>
        <w:rPr>
          <w:rFonts w:ascii="Arial" w:hAnsi="Arial" w:eastAsia="Arial" w:cs="Arial"/>
          <w:sz w:val="24"/>
          <w:szCs w:val="24"/>
        </w:rPr>
      </w:pPr>
      <w:r>
        <w:rPr>
          <w:rFonts w:eastAsia="Arial" w:cs="Arial" w:ascii="Arial" w:hAnsi="Arial"/>
          <w:sz w:val="24"/>
          <w:szCs w:val="24"/>
        </w:rPr>
        <w:t>Eliminate the effectiveness of the caps during system emergencies, as defined in section 5.6 of the ISO Tariff; and</w:t>
      </w:r>
    </w:p>
    <w:p>
      <w:pPr>
        <w:pStyle w:val="Normal"/>
        <w:numPr>
          <w:ilvl w:val="0"/>
          <w:numId w:val="4"/>
        </w:numPr>
        <w:tabs>
          <w:tab w:val="clear" w:pos="720"/>
          <w:tab w:val="left" w:pos="0" w:leader="none"/>
          <w:tab w:val="left" w:pos="765" w:leader="none"/>
        </w:tabs>
        <w:spacing w:lineRule="auto" w:line="480"/>
        <w:ind w:hanging="360" w:start="1440" w:end="0"/>
        <w:jc w:val="both"/>
        <w:rPr>
          <w:rFonts w:ascii="Arial" w:hAnsi="Arial" w:eastAsia="Arial" w:cs="Arial"/>
          <w:sz w:val="24"/>
          <w:szCs w:val="24"/>
        </w:rPr>
      </w:pPr>
      <w:r>
        <w:rPr>
          <w:rFonts w:eastAsia="Arial" w:cs="Arial" w:ascii="Arial" w:hAnsi="Arial"/>
          <w:sz w:val="24"/>
          <w:szCs w:val="24"/>
        </w:rPr>
        <w:t>Provide that the current price caps are extended only for an additional six month period, or through May 15, 2000.</w:t>
      </w:r>
    </w:p>
    <w:p>
      <w:pPr>
        <w:pStyle w:val="Normal"/>
        <w:tabs>
          <w:tab w:val="clear" w:pos="720"/>
          <w:tab w:val="left" w:pos="1125" w:leader="none"/>
        </w:tabs>
        <w:spacing w:lineRule="auto" w:line="480"/>
        <w:ind w:start="720" w:end="0"/>
        <w:jc w:val="both"/>
        <w:rPr>
          <w:rFonts w:ascii="Arial" w:hAnsi="Arial" w:eastAsia="Arial" w:cs="Arial"/>
          <w:sz w:val="24"/>
          <w:szCs w:val="24"/>
        </w:rPr>
      </w:pPr>
      <w:r>
        <w:rPr>
          <w:rFonts w:eastAsia="Arial" w:cs="Arial" w:ascii="Arial" w:hAnsi="Arial"/>
          <w:sz w:val="24"/>
          <w:szCs w:val="24"/>
        </w:rPr>
      </w:r>
    </w:p>
    <w:p>
      <w:pPr>
        <w:pStyle w:val="Normal"/>
        <w:ind w:firstLine="4680" w:end="0"/>
        <w:rPr>
          <w:rFonts w:ascii="Arial" w:hAnsi="Arial" w:eastAsia="Arial" w:cs="Arial"/>
          <w:sz w:val="24"/>
          <w:szCs w:val="24"/>
        </w:rPr>
      </w:pPr>
      <w:r>
        <w:rPr>
          <w:rFonts w:eastAsia="Arial" w:cs="Arial" w:ascii="Arial" w:hAnsi="Arial"/>
          <w:sz w:val="24"/>
          <w:szCs w:val="24"/>
        </w:rPr>
      </w:r>
    </w:p>
    <w:p>
      <w:pPr>
        <w:pStyle w:val="Normal"/>
        <w:ind w:firstLine="4680" w:end="0"/>
        <w:rPr>
          <w:rFonts w:ascii="Arial" w:hAnsi="Arial" w:eastAsia="Arial" w:cs="Arial"/>
          <w:sz w:val="24"/>
          <w:szCs w:val="24"/>
        </w:rPr>
      </w:pPr>
      <w:r>
        <w:rPr>
          <w:rFonts w:eastAsia="Arial" w:cs="Arial" w:ascii="Arial" w:hAnsi="Arial"/>
          <w:sz w:val="24"/>
          <w:szCs w:val="24"/>
        </w:rPr>
        <w:t>Respectfully submitted,</w:t>
      </w:r>
    </w:p>
    <w:p>
      <w:pPr>
        <w:pStyle w:val="Normal"/>
        <w:ind w:firstLine="5040" w:end="0"/>
        <w:rPr>
          <w:rFonts w:ascii="Arial" w:hAnsi="Arial" w:eastAsia="Arial" w:cs="Arial"/>
          <w:sz w:val="24"/>
          <w:szCs w:val="24"/>
        </w:rPr>
      </w:pPr>
      <w:r>
        <w:rPr>
          <w:rFonts w:eastAsia="Arial" w:cs="Arial" w:ascii="Arial" w:hAnsi="Arial"/>
          <w:sz w:val="24"/>
          <w:szCs w:val="24"/>
        </w:rPr>
      </w:r>
    </w:p>
    <w:p>
      <w:pPr>
        <w:pStyle w:val="Normal"/>
        <w:ind w:firstLine="4680" w:end="0"/>
        <w:rPr>
          <w:rFonts w:ascii="Arial" w:hAnsi="Arial" w:eastAsia="Arial" w:cs="Arial"/>
          <w:sz w:val="24"/>
          <w:szCs w:val="24"/>
        </w:rPr>
      </w:pPr>
      <w:r>
        <w:rPr>
          <w:rFonts w:eastAsia="Arial" w:cs="Arial" w:ascii="Arial" w:hAnsi="Arial"/>
          <w:sz w:val="24"/>
          <w:szCs w:val="24"/>
        </w:rPr>
        <w:t>ARTER &amp; HADDEN, LLP</w:t>
      </w:r>
    </w:p>
    <w:p>
      <w:pPr>
        <w:pStyle w:val="Normal"/>
        <w:ind w:firstLine="5040" w:end="0"/>
        <w:rPr>
          <w:rFonts w:ascii="Arial" w:hAnsi="Arial" w:eastAsia="Arial" w:cs="Arial"/>
          <w:sz w:val="24"/>
          <w:szCs w:val="24"/>
        </w:rPr>
      </w:pPr>
      <w:r>
        <w:rPr>
          <w:rFonts w:eastAsia="Arial" w:cs="Arial" w:ascii="Arial" w:hAnsi="Arial"/>
          <w:sz w:val="24"/>
          <w:szCs w:val="24"/>
        </w:rPr>
      </w:r>
    </w:p>
    <w:p>
      <w:pPr>
        <w:pStyle w:val="Normal"/>
        <w:ind w:firstLine="5040" w:end="0"/>
        <w:rPr>
          <w:rFonts w:ascii="Arial" w:hAnsi="Arial" w:eastAsia="Arial" w:cs="Arial"/>
          <w:sz w:val="24"/>
          <w:szCs w:val="24"/>
        </w:rPr>
      </w:pPr>
      <w:r>
        <w:rPr>
          <w:rFonts w:eastAsia="Arial" w:cs="Arial" w:ascii="Arial" w:hAnsi="Arial"/>
          <w:sz w:val="24"/>
          <w:szCs w:val="24"/>
        </w:rPr>
      </w:r>
    </w:p>
    <w:p>
      <w:pPr>
        <w:pStyle w:val="Normal"/>
        <w:ind w:firstLine="5040" w:end="0"/>
        <w:rPr>
          <w:rFonts w:ascii="Arial" w:hAnsi="Arial" w:eastAsia="Arial" w:cs="Arial"/>
          <w:sz w:val="24"/>
          <w:szCs w:val="24"/>
        </w:rPr>
      </w:pPr>
      <w:r>
        <w:rPr>
          <w:rFonts w:eastAsia="Arial" w:cs="Arial" w:ascii="Arial" w:hAnsi="Arial"/>
          <w:sz w:val="24"/>
          <w:szCs w:val="24"/>
        </w:rPr>
      </w:r>
    </w:p>
    <w:p>
      <w:pPr>
        <w:pStyle w:val="Normal"/>
        <w:ind w:firstLine="4680" w:end="0"/>
        <w:rPr>
          <w:rFonts w:ascii="Arial" w:hAnsi="Arial" w:eastAsia="Arial" w:cs="Arial"/>
          <w:sz w:val="24"/>
          <w:szCs w:val="24"/>
        </w:rPr>
      </w:pPr>
      <w:r>
        <w:rPr>
          <w:rFonts w:eastAsia="Arial" w:cs="Arial" w:ascii="Arial" w:hAnsi="Arial"/>
          <w:sz w:val="24"/>
          <w:szCs w:val="24"/>
        </w:rPr>
        <w:t>_______________________________</w:t>
      </w:r>
    </w:p>
    <w:p>
      <w:pPr>
        <w:pStyle w:val="Normal"/>
        <w:ind w:firstLine="1080" w:start="3600" w:end="0"/>
        <w:rPr>
          <w:rFonts w:ascii="Arial" w:hAnsi="Arial" w:eastAsia="Arial" w:cs="Arial"/>
          <w:sz w:val="24"/>
          <w:szCs w:val="24"/>
        </w:rPr>
      </w:pPr>
      <w:r>
        <w:rPr>
          <w:rFonts w:eastAsia="Arial" w:cs="Arial" w:ascii="Arial" w:hAnsi="Arial"/>
          <w:sz w:val="24"/>
          <w:szCs w:val="24"/>
        </w:rPr>
        <w:t>Daniel W. Douglass</w:t>
      </w:r>
    </w:p>
    <w:p>
      <w:pPr>
        <w:pStyle w:val="Normal"/>
        <w:ind w:firstLine="1080" w:start="3600" w:end="0"/>
        <w:rPr>
          <w:rFonts w:ascii="Arial" w:hAnsi="Arial" w:eastAsia="Arial" w:cs="Arial"/>
          <w:sz w:val="24"/>
          <w:szCs w:val="24"/>
        </w:rPr>
      </w:pPr>
      <w:r>
        <w:rPr>
          <w:rFonts w:eastAsia="Arial" w:cs="Arial" w:ascii="Arial" w:hAnsi="Arial"/>
          <w:sz w:val="24"/>
          <w:szCs w:val="24"/>
        </w:rPr>
        <w:t>Freya L. Christian</w:t>
      </w:r>
    </w:p>
    <w:p>
      <w:pPr>
        <w:pStyle w:val="Normal"/>
        <w:ind w:firstLine="1080" w:start="3600" w:end="0"/>
        <w:rPr>
          <w:rFonts w:ascii="Arial" w:hAnsi="Arial" w:eastAsia="Arial" w:cs="Arial"/>
          <w:sz w:val="24"/>
          <w:szCs w:val="24"/>
        </w:rPr>
      </w:pPr>
      <w:r>
        <w:rPr>
          <w:rFonts w:eastAsia="Arial" w:cs="Arial" w:ascii="Arial" w:hAnsi="Arial"/>
          <w:sz w:val="24"/>
          <w:szCs w:val="24"/>
        </w:rPr>
        <w:t>Arter &amp; Hadden LLP</w:t>
      </w:r>
    </w:p>
    <w:p>
      <w:pPr>
        <w:pStyle w:val="Normal"/>
        <w:ind w:firstLine="1080" w:start="3600" w:end="0"/>
        <w:rPr>
          <w:rFonts w:ascii="Arial" w:hAnsi="Arial" w:eastAsia="Arial" w:cs="Arial"/>
          <w:sz w:val="24"/>
          <w:szCs w:val="24"/>
        </w:rPr>
      </w:pPr>
      <w:r>
        <w:rPr>
          <w:rFonts w:eastAsia="Arial" w:cs="Arial" w:ascii="Arial" w:hAnsi="Arial"/>
          <w:sz w:val="24"/>
          <w:szCs w:val="24"/>
        </w:rPr>
        <w:t>5959 Topanga Canyon Blvd, Suite 244</w:t>
      </w:r>
    </w:p>
    <w:p>
      <w:pPr>
        <w:pStyle w:val="Normal"/>
        <w:ind w:firstLine="1080" w:start="3600" w:end="0"/>
        <w:rPr>
          <w:rFonts w:ascii="Arial" w:hAnsi="Arial" w:eastAsia="Arial" w:cs="Arial"/>
          <w:sz w:val="24"/>
          <w:szCs w:val="24"/>
        </w:rPr>
      </w:pPr>
      <w:r>
        <w:rPr>
          <w:rFonts w:eastAsia="Arial" w:cs="Arial" w:ascii="Arial" w:hAnsi="Arial"/>
          <w:sz w:val="24"/>
          <w:szCs w:val="24"/>
        </w:rPr>
        <w:t>Woodland Hills, CA 91367</w:t>
      </w:r>
    </w:p>
    <w:p>
      <w:pPr>
        <w:pStyle w:val="Normal"/>
        <w:ind w:firstLine="1080" w:start="3600" w:end="0"/>
        <w:rPr>
          <w:rFonts w:ascii="Arial" w:hAnsi="Arial" w:eastAsia="Arial" w:cs="Arial"/>
          <w:sz w:val="24"/>
          <w:szCs w:val="24"/>
        </w:rPr>
      </w:pPr>
      <w:r>
        <w:rPr>
          <w:rFonts w:eastAsia="Arial" w:cs="Arial" w:ascii="Arial" w:hAnsi="Arial"/>
          <w:sz w:val="24"/>
          <w:szCs w:val="24"/>
        </w:rPr>
        <w:t>Telephone (818) 596-2201</w:t>
      </w:r>
    </w:p>
    <w:p>
      <w:pPr>
        <w:pStyle w:val="Normal"/>
        <w:ind w:firstLine="4680" w:end="0"/>
        <w:rPr>
          <w:rFonts w:ascii="Arial" w:hAnsi="Arial" w:eastAsia="Arial" w:cs="Arial"/>
          <w:sz w:val="24"/>
          <w:szCs w:val="24"/>
        </w:rPr>
      </w:pPr>
      <w:r>
        <w:rPr>
          <w:rFonts w:eastAsia="Arial" w:cs="Arial" w:ascii="Arial" w:hAnsi="Arial"/>
          <w:sz w:val="24"/>
          <w:szCs w:val="24"/>
        </w:rPr>
        <w:t>Facsimile (818) 346-6502</w:t>
      </w:r>
    </w:p>
    <w:p>
      <w:pPr>
        <w:pStyle w:val="Normal"/>
        <w:ind w:firstLine="5040" w:end="0"/>
        <w:rPr>
          <w:rFonts w:ascii="Arial" w:hAnsi="Arial" w:eastAsia="Arial" w:cs="Arial"/>
          <w:sz w:val="24"/>
          <w:szCs w:val="24"/>
        </w:rPr>
      </w:pPr>
      <w:r>
        <w:rPr>
          <w:rFonts w:eastAsia="Arial" w:cs="Arial" w:ascii="Arial" w:hAnsi="Arial"/>
          <w:sz w:val="24"/>
          <w:szCs w:val="24"/>
        </w:rPr>
      </w:r>
    </w:p>
    <w:p>
      <w:pPr>
        <w:pStyle w:val="Normal"/>
        <w:ind w:firstLine="4680" w:end="0"/>
        <w:rPr>
          <w:rFonts w:ascii="Arial" w:hAnsi="Arial" w:eastAsia="Arial" w:cs="Arial"/>
          <w:sz w:val="24"/>
          <w:szCs w:val="24"/>
        </w:rPr>
      </w:pPr>
      <w:r>
        <w:rPr>
          <w:rFonts w:eastAsia="Arial" w:cs="Arial" w:ascii="Arial" w:hAnsi="Arial"/>
          <w:sz w:val="24"/>
          <w:szCs w:val="24"/>
        </w:rPr>
        <w:t>Attorneys for the</w:t>
      </w:r>
    </w:p>
    <w:p>
      <w:pPr>
        <w:pStyle w:val="Normal"/>
        <w:ind w:hanging="450" w:start="5130" w:end="-180"/>
        <w:rPr>
          <w:rFonts w:ascii="Arial" w:hAnsi="Arial" w:eastAsia="Arial" w:cs="Arial"/>
          <w:sz w:val="24"/>
          <w:szCs w:val="24"/>
        </w:rPr>
      </w:pPr>
      <w:r>
        <w:rPr>
          <w:rFonts w:eastAsia="Arial" w:cs="Arial" w:ascii="Arial" w:hAnsi="Arial"/>
          <w:sz w:val="24"/>
          <w:szCs w:val="24"/>
        </w:rPr>
        <w:t>WESTERN POWER TRADING FORUM</w:t>
      </w:r>
    </w:p>
    <w:p>
      <w:pPr>
        <w:pStyle w:val="Normal"/>
        <w:tabs>
          <w:tab w:val="clear" w:pos="720"/>
          <w:tab w:val="left" w:pos="-1440" w:leader="none"/>
          <w:tab w:val="left" w:pos="-720" w:leader="none"/>
        </w:tabs>
        <w:jc w:val="center"/>
        <w:rPr>
          <w:rFonts w:ascii="Arial" w:hAnsi="Arial" w:eastAsia="Arial" w:cs="Arial"/>
          <w:sz w:val="24"/>
          <w:szCs w:val="24"/>
        </w:rPr>
      </w:pPr>
      <w:r>
        <w:rPr>
          <w:rFonts w:eastAsia="Arial" w:cs="Arial" w:ascii="Arial" w:hAnsi="Arial"/>
          <w:sz w:val="24"/>
          <w:szCs w:val="24"/>
        </w:rPr>
      </w:r>
    </w:p>
    <w:p>
      <w:pPr>
        <w:pStyle w:val="Heading4"/>
        <w:ind w:hanging="0" w:start="0"/>
        <w:jc w:val="start"/>
        <w:rPr/>
      </w:pPr>
      <w:r>
        <w:rPr/>
        <w:t>October 5, 2000</w:t>
      </w:r>
      <w:r>
        <w:br w:type="page"/>
      </w:r>
    </w:p>
    <w:p>
      <w:pPr>
        <w:pStyle w:val="Normal"/>
        <w:tabs>
          <w:tab w:val="clear" w:pos="720"/>
          <w:tab w:val="left" w:pos="-1440" w:leader="none"/>
          <w:tab w:val="left" w:pos="-720" w:leader="none"/>
        </w:tabs>
        <w:jc w:val="center"/>
        <w:rPr>
          <w:rFonts w:ascii="Arial" w:hAnsi="Arial" w:eastAsia="Arial" w:cs="Arial"/>
          <w:sz w:val="24"/>
          <w:szCs w:val="24"/>
        </w:rPr>
      </w:pPr>
      <w:r>
        <w:rPr>
          <w:rFonts w:eastAsia="Arial" w:cs="Arial" w:ascii="Arial" w:hAnsi="Arial"/>
          <w:b/>
          <w:bCs/>
          <w:sz w:val="24"/>
          <w:szCs w:val="24"/>
        </w:rPr>
        <w:t>CERTIFICATE OF SERVICE</w:t>
      </w:r>
    </w:p>
    <w:p>
      <w:pPr>
        <w:pStyle w:val="SingleSpacing"/>
        <w:ind w:firstLine="720" w:end="0"/>
        <w:jc w:val="both"/>
        <w:rPr>
          <w:rFonts w:ascii="Arial" w:hAnsi="Arial" w:eastAsia="Arial" w:cs="Arial"/>
          <w:sz w:val="24"/>
          <w:szCs w:val="24"/>
        </w:rPr>
      </w:pPr>
      <w:r>
        <w:rPr>
          <w:rFonts w:eastAsia="Arial" w:cs="Arial" w:ascii="Arial" w:hAnsi="Arial"/>
          <w:sz w:val="24"/>
          <w:szCs w:val="24"/>
        </w:rPr>
      </w:r>
    </w:p>
    <w:p>
      <w:pPr>
        <w:pStyle w:val="SingleSpacing"/>
        <w:spacing w:lineRule="auto" w:line="360"/>
        <w:ind w:firstLine="720" w:end="0"/>
        <w:jc w:val="both"/>
        <w:rPr/>
      </w:pPr>
      <w:r>
        <w:rPr>
          <w:rFonts w:eastAsia="Arial" w:cs="Arial" w:ascii="Arial" w:hAnsi="Arial"/>
          <w:sz w:val="24"/>
          <w:szCs w:val="24"/>
        </w:rPr>
        <w:t xml:space="preserve">I hereby certify that I have this day served the foregoing document upon each person designated on the official service list compiled by the Secretary in Docket No. ER00-3673-000 in accordance with the requirements of Rule 2010 of the Commission's Rules of Practice and Procedure, 18 C.F.R. </w:t>
      </w:r>
      <w:r>
        <w:rPr>
          <w:rFonts w:eastAsia="Arial" w:cs="Arial" w:ascii="WP TypographicSymbols" w:hAnsi="WP TypographicSymbols"/>
          <w:sz w:val="24"/>
          <w:szCs w:val="24"/>
        </w:rPr>
        <w:sym w:font="WP TypographicSymbols" w:char="27"/>
      </w:r>
      <w:r>
        <w:rPr>
          <w:rFonts w:eastAsia="Arial" w:cs="Arial" w:ascii="Arial" w:hAnsi="Arial"/>
          <w:sz w:val="24"/>
          <w:szCs w:val="24"/>
        </w:rPr>
        <w:t>385.2010.</w:t>
      </w:r>
    </w:p>
    <w:p>
      <w:pPr>
        <w:pStyle w:val="DoubleSpacing"/>
        <w:rPr/>
      </w:pPr>
      <w:r>
        <w:rPr>
          <w:rFonts w:eastAsia="Arial" w:cs="Arial" w:ascii="Arial" w:hAnsi="Arial"/>
          <w:sz w:val="24"/>
          <w:szCs w:val="24"/>
        </w:rPr>
        <w:tab/>
        <w:t>Dated at Los Angeles, California on this 5th</w:t>
      </w:r>
      <w:r>
        <w:rPr>
          <w:rFonts w:eastAsia="Arial" w:cs="Arial" w:ascii="Arial" w:hAnsi="Arial"/>
          <w:sz w:val="24"/>
          <w:szCs w:val="24"/>
          <w:vertAlign w:val="superscript"/>
        </w:rPr>
        <w:t xml:space="preserve"> </w:t>
      </w:r>
      <w:r>
        <w:rPr>
          <w:rFonts w:eastAsia="Arial" w:cs="Arial" w:ascii="Arial" w:hAnsi="Arial"/>
          <w:sz w:val="24"/>
          <w:szCs w:val="24"/>
        </w:rPr>
        <w:t>day of October, 2000.</w:t>
      </w:r>
    </w:p>
    <w:p>
      <w:pPr>
        <w:pStyle w:val="DoubleSpacing"/>
        <w:rPr>
          <w:rFonts w:ascii="Arial" w:hAnsi="Arial" w:eastAsia="Arial" w:cs="Arial"/>
          <w:sz w:val="24"/>
          <w:szCs w:val="24"/>
        </w:rPr>
      </w:pPr>
      <w:r>
        <w:rPr>
          <w:rFonts w:eastAsia="Arial" w:cs="Arial" w:ascii="Arial" w:hAnsi="Arial"/>
          <w:sz w:val="24"/>
          <w:szCs w:val="24"/>
        </w:rPr>
      </w:r>
    </w:p>
    <w:p>
      <w:pPr>
        <w:pStyle w:val="DoubleSpacing"/>
        <w:rPr>
          <w:rFonts w:ascii="Arial" w:hAnsi="Arial" w:eastAsia="Arial" w:cs="Arial"/>
          <w:sz w:val="24"/>
          <w:szCs w:val="24"/>
        </w:rPr>
      </w:pPr>
      <w:r>
        <w:rPr>
          <w:rFonts w:eastAsia="Arial" w:cs="Arial" w:ascii="Arial" w:hAnsi="Arial"/>
          <w:sz w:val="24"/>
          <w:szCs w:val="24"/>
        </w:rPr>
        <w:tab/>
        <w:tab/>
        <w:tab/>
        <w:tab/>
        <w:tab/>
        <w:tab/>
        <w:tab/>
        <w:tab/>
        <w:tab/>
        <w:tab/>
        <w:tab/>
        <w:tab/>
        <w:tab/>
        <w:tab/>
        <w:tab/>
        <w:tab/>
        <w:tab/>
        <w:t>__________________________________________</w:t>
      </w:r>
    </w:p>
    <w:p>
      <w:pPr>
        <w:pStyle w:val="zTitle"/>
        <w:ind w:start="1440" w:end="0"/>
        <w:jc w:val="both"/>
        <w:rPr/>
      </w:pPr>
      <w:r>
        <w:rPr>
          <w:rFonts w:eastAsia="Arial" w:cs="Arial" w:ascii="Arial" w:hAnsi="Arial"/>
        </w:rPr>
        <w:tab/>
        <w:tab/>
        <w:tab/>
      </w:r>
      <w:r>
        <w:rPr>
          <w:rFonts w:eastAsia="Arial" w:cs="Arial" w:ascii="Arial" w:hAnsi="Arial"/>
          <w:b w:val="false"/>
          <w:bCs w:val="false"/>
        </w:rPr>
        <w:tab/>
        <w:t>Joslyn Renes</w:t>
      </w:r>
    </w:p>
    <w:p>
      <w:pPr>
        <w:pStyle w:val="zTitle"/>
        <w:ind w:start="1440" w:end="0"/>
        <w:jc w:val="both"/>
        <w:rPr>
          <w:rFonts w:ascii="Arial" w:hAnsi="Arial" w:eastAsia="Arial" w:cs="Arial"/>
          <w:b w:val="false"/>
          <w:bCs w:val="false"/>
        </w:rPr>
      </w:pPr>
      <w:r>
        <w:rPr>
          <w:rFonts w:eastAsia="Arial" w:cs="Arial" w:ascii="Arial" w:hAnsi="Arial"/>
          <w:b w:val="false"/>
          <w:bCs w:val="false"/>
        </w:rPr>
        <w:tab/>
        <w:tab/>
        <w:tab/>
        <w:tab/>
        <w:t>Arter &amp; Hadden LLP</w:t>
      </w:r>
    </w:p>
    <w:p>
      <w:pPr>
        <w:pStyle w:val="zTitle"/>
        <w:ind w:start="1440" w:end="0"/>
        <w:jc w:val="both"/>
        <w:rPr/>
      </w:pPr>
      <w:r>
        <w:rPr>
          <w:rFonts w:eastAsia="Arial" w:cs="Arial" w:ascii="Arial" w:hAnsi="Arial"/>
          <w:b w:val="false"/>
          <w:bCs w:val="false"/>
        </w:rPr>
        <w:tab/>
        <w:tab/>
        <w:tab/>
        <w:tab/>
        <w:t>725 S. Figueroa Street, 34</w:t>
      </w:r>
      <w:r>
        <w:rPr>
          <w:rFonts w:eastAsia="Arial" w:cs="Arial" w:ascii="Arial" w:hAnsi="Arial"/>
          <w:b w:val="false"/>
          <w:bCs w:val="false"/>
          <w:vertAlign w:val="superscript"/>
        </w:rPr>
        <w:t>th</w:t>
      </w:r>
      <w:r>
        <w:rPr>
          <w:rFonts w:eastAsia="Arial" w:cs="Arial" w:ascii="Arial" w:hAnsi="Arial"/>
          <w:b w:val="false"/>
          <w:bCs w:val="false"/>
        </w:rPr>
        <w:t xml:space="preserve"> Floor</w:t>
      </w:r>
    </w:p>
    <w:p>
      <w:pPr>
        <w:pStyle w:val="zTitle"/>
        <w:ind w:start="1440" w:end="0"/>
        <w:jc w:val="both"/>
        <w:rPr>
          <w:rFonts w:ascii="Arial" w:hAnsi="Arial" w:eastAsia="Arial" w:cs="Arial"/>
          <w:b w:val="false"/>
          <w:bCs w:val="false"/>
        </w:rPr>
      </w:pPr>
      <w:r>
        <w:rPr>
          <w:rFonts w:eastAsia="Arial" w:cs="Arial" w:ascii="Arial" w:hAnsi="Arial"/>
          <w:b w:val="false"/>
          <w:bCs w:val="false"/>
        </w:rPr>
        <w:tab/>
        <w:tab/>
        <w:tab/>
        <w:tab/>
        <w:t>Los Angeles, CA 90017</w:t>
      </w:r>
    </w:p>
    <w:p>
      <w:pPr>
        <w:pStyle w:val="zTitle"/>
        <w:ind w:firstLine="720" w:start="3600" w:end="0"/>
        <w:jc w:val="both"/>
        <w:rPr>
          <w:rFonts w:ascii="Arial" w:hAnsi="Arial" w:eastAsia="Arial" w:cs="Arial"/>
        </w:rPr>
      </w:pPr>
      <w:r>
        <w:rPr>
          <w:rFonts w:eastAsia="Arial" w:cs="Arial" w:ascii="Arial" w:hAnsi="Arial"/>
          <w:b w:val="false"/>
          <w:bCs w:val="false"/>
        </w:rPr>
        <w:t>(213) 430-3633</w:t>
      </w:r>
    </w:p>
    <w:p>
      <w:pPr>
        <w:pStyle w:val="Normal"/>
        <w:widowControl/>
        <w:spacing w:lineRule="auto" w:line="480"/>
        <w:rPr>
          <w:rFonts w:ascii="Arial" w:hAnsi="Arial" w:eastAsia="Arial" w:cs="Arial"/>
          <w:sz w:val="24"/>
          <w:szCs w:val="24"/>
        </w:rPr>
      </w:pPr>
      <w:r>
        <w:rPr>
          <w:rFonts w:eastAsia="Arial" w:cs="Arial" w:ascii="Arial" w:hAnsi="Arial"/>
          <w:sz w:val="24"/>
          <w:szCs w:val="24"/>
        </w:rPr>
        <w:tab/>
        <w:tab/>
        <w:tab/>
        <w:tab/>
        <w:tab/>
        <w:tab/>
        <w:t>jrenes@arterhadden.com</w:t>
      </w:r>
    </w:p>
    <w:sectPr>
      <w:footerReference w:type="default" r:id="rId2"/>
      <w:footerReference w:type="first" r:id="rId3"/>
      <w:footnotePr>
        <w:numFmt w:val="decimal"/>
      </w:footnotePr>
      <w:type w:val="nextPage"/>
      <w:pgSz w:w="12240" w:h="15840"/>
      <w:pgMar w:left="1584" w:right="1584" w:gutter="0" w:header="0" w:top="1440" w:footer="72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Courier New">
    <w:charset w:val="01"/>
    <w:family w:val="modern"/>
    <w:pitch w:val="default"/>
  </w:font>
  <w:font w:name="WP TypographicSymbol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1">
              <wp:simplePos x="0" y="0"/>
              <wp:positionH relativeFrom="page">
                <wp:posOffset>3749675</wp:posOffset>
              </wp:positionH>
              <wp:positionV relativeFrom="paragraph">
                <wp:posOffset>-38100</wp:posOffset>
              </wp:positionV>
              <wp:extent cx="14605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4605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3pt;mso-position-vertical-relative:text;margin-left:295.25pt;mso-position-horizontal-relative:page">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ab/>
        <w:t>18 C.F.R § 385.214.</w:t>
      </w:r>
    </w:p>
  </w:footnote>
  <w:footnote w:id="3">
    <w:p>
      <w:pPr>
        <w:pStyle w:val="FootnoteText"/>
        <w:rPr/>
      </w:pPr>
      <w:r>
        <w:rPr>
          <w:rStyle w:val="FootnoteCharacters"/>
        </w:rPr>
        <w:footnoteRef/>
      </w:r>
      <w:r>
        <w:rPr/>
        <w:t xml:space="preserve"> </w:t>
      </w:r>
      <w:r>
        <w:rPr/>
        <w:tab/>
        <w:t>16 U.S.C. § 824d.</w:t>
      </w:r>
    </w:p>
  </w:footnote>
  <w:footnote w:id="4">
    <w:p>
      <w:pPr>
        <w:pStyle w:val="FootnoteText"/>
        <w:rPr/>
      </w:pPr>
      <w:r>
        <w:rPr>
          <w:rStyle w:val="FootnoteCharacters"/>
        </w:rPr>
        <w:footnoteRef/>
      </w:r>
      <w:r>
        <w:rPr/>
        <w:t xml:space="preserve"> </w:t>
      </w:r>
      <w:r>
        <w:rPr/>
        <w:tab/>
        <w:t>18 C.F.R. § 35.13.</w:t>
      </w:r>
    </w:p>
  </w:footnote>
  <w:footnote w:id="5">
    <w:p>
      <w:pPr>
        <w:pStyle w:val="FootnoteText"/>
        <w:ind w:hanging="720" w:start="720" w:end="0"/>
        <w:rPr/>
      </w:pPr>
      <w:r>
        <w:rPr>
          <w:rStyle w:val="FootnoteCharacters"/>
        </w:rPr>
        <w:footnoteRef/>
      </w:r>
      <w:r>
        <w:rPr/>
        <w:t xml:space="preserve"> </w:t>
      </w:r>
      <w:r>
        <w:rPr/>
        <w:tab/>
        <w:t>Order Accepting Tariff Revisions and Granting Waiver of Notice, 89 FERC ¶ 61,169 (1999), slip op. at p. 1</w:t>
      </w:r>
    </w:p>
  </w:footnote>
  <w:footnote w:id="6">
    <w:p>
      <w:pPr>
        <w:pStyle w:val="FootnoteText"/>
        <w:rPr/>
      </w:pPr>
      <w:r>
        <w:rPr>
          <w:rStyle w:val="FootnoteCharacters"/>
        </w:rPr>
        <w:footnoteRef/>
      </w:r>
      <w:r>
        <w:rPr/>
        <w:t xml:space="preserve"> </w:t>
      </w:r>
      <w:r>
        <w:rPr/>
        <w:tab/>
      </w:r>
      <w:r>
        <w:rPr>
          <w:u w:val="single"/>
        </w:rPr>
        <w:t>Id.</w:t>
      </w:r>
      <w:r>
        <w:rPr/>
        <w:t xml:space="preserve"> at p. 9.</w:t>
      </w:r>
    </w:p>
    <w:p>
      <w:pPr>
        <w:pStyle w:val="FootnoteText"/>
        <w:rPr/>
      </w:pPr>
      <w:r>
        <w:rPr/>
      </w:r>
    </w:p>
  </w:footnote>
  <w:footnote w:id="7">
    <w:p>
      <w:pPr>
        <w:pStyle w:val="FootnoteText"/>
        <w:rPr/>
      </w:pPr>
      <w:r>
        <w:rPr>
          <w:rStyle w:val="FootnoteCharacters"/>
        </w:rPr>
        <w:footnoteRef/>
      </w:r>
      <w:r>
        <w:rPr/>
        <w:t xml:space="preserve"> </w:t>
      </w:r>
      <w:r>
        <w:rPr/>
        <w:tab/>
      </w:r>
      <w:bookmarkStart w:id="0" w:name="zImInFootnote"/>
      <w:bookmarkEnd w:id="0"/>
      <w:r>
        <w:rPr/>
        <w:t>Report at pp. 16-17.</w:t>
      </w:r>
    </w:p>
  </w:footnote>
  <w:footnote w:id="8">
    <w:p>
      <w:pPr>
        <w:pStyle w:val="FootnoteText"/>
        <w:rPr/>
      </w:pPr>
      <w:r>
        <w:rPr>
          <w:rStyle w:val="FootnoteCharacters"/>
        </w:rPr>
        <w:footnoteRef/>
      </w:r>
      <w:r>
        <w:rPr/>
        <w:t xml:space="preserve"> </w:t>
      </w:r>
      <w:r>
        <w:rPr>
          <w:rFonts w:eastAsia="Arial" w:cs="Arial" w:ascii="Arial" w:hAnsi="Arial"/>
        </w:rPr>
        <w:t>Report, Attachment C, at pp. 3, 10.</w:t>
      </w:r>
    </w:p>
    <w:p>
      <w:pPr>
        <w:pStyle w:val="FootnoteText"/>
        <w:rPr>
          <w:rFonts w:ascii="Arial" w:hAnsi="Arial" w:eastAsia="Arial" w:cs="Arial"/>
        </w:rPr>
      </w:pPr>
      <w:r>
        <w:rPr>
          <w:rFonts w:eastAsia="Arial" w:cs="Arial" w:ascii="Arial" w:hAnsi="Arial"/>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lowerLetter"/>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uto" w:line="480"/>
      <w:jc w:val="center"/>
      <w:outlineLvl w:val="0"/>
    </w:pPr>
    <w:rPr>
      <w:b/>
      <w:bCs/>
      <w:sz w:val="24"/>
      <w:szCs w:val="24"/>
    </w:rPr>
  </w:style>
  <w:style w:type="paragraph" w:styleId="Heading2">
    <w:name w:val="heading 2"/>
    <w:basedOn w:val="Normal"/>
    <w:next w:val="Normal"/>
    <w:qFormat/>
    <w:pPr>
      <w:keepNext w:val="true"/>
      <w:numPr>
        <w:ilvl w:val="1"/>
        <w:numId w:val="1"/>
      </w:numPr>
      <w:ind w:firstLine="720" w:start="0" w:end="0"/>
      <w:outlineLvl w:val="1"/>
    </w:pPr>
    <w:rPr>
      <w:sz w:val="24"/>
      <w:szCs w:val="24"/>
    </w:rPr>
  </w:style>
  <w:style w:type="paragraph" w:styleId="Heading3">
    <w:name w:val="heading 3"/>
    <w:basedOn w:val="Normal"/>
    <w:next w:val="Normal"/>
    <w:qFormat/>
    <w:pPr>
      <w:keepNext w:val="true"/>
      <w:numPr>
        <w:ilvl w:val="2"/>
        <w:numId w:val="1"/>
      </w:numPr>
      <w:ind w:hanging="0" w:start="360" w:end="0"/>
      <w:outlineLvl w:val="2"/>
    </w:pPr>
    <w:rPr>
      <w:sz w:val="24"/>
      <w:szCs w:val="24"/>
    </w:rPr>
  </w:style>
  <w:style w:type="paragraph" w:styleId="Heading4">
    <w:name w:val="heading 4"/>
    <w:basedOn w:val="Normal"/>
    <w:next w:val="Normal"/>
    <w:qFormat/>
    <w:pPr>
      <w:keepNext w:val="true"/>
      <w:numPr>
        <w:ilvl w:val="3"/>
        <w:numId w:val="1"/>
      </w:numPr>
      <w:tabs>
        <w:tab w:val="clear" w:pos="720"/>
        <w:tab w:val="left" w:pos="-1440" w:leader="none"/>
        <w:tab w:val="left" w:pos="-720" w:leader="none"/>
      </w:tabs>
      <w:jc w:val="center"/>
      <w:outlineLvl w:val="3"/>
    </w:pPr>
    <w:rPr>
      <w:rFonts w:ascii="Arial" w:hAnsi="Arial" w:eastAsia="Arial" w:cs="Arial"/>
      <w:sz w:val="24"/>
      <w:szCs w:val="24"/>
    </w:rPr>
  </w:style>
  <w:style w:type="character" w:styleId="DefaultParagraphFont">
    <w:name w:val="Default Paragraph Font"/>
    <w:qFormat/>
    <w:rPr/>
  </w:style>
  <w:style w:type="character" w:styleId="PageNumber">
    <w:name w:val="page number"/>
    <w:basedOn w:val="DefaultParagraphFont"/>
    <w:rPr>
      <w:sz w:val="20"/>
      <w:szCs w:val="20"/>
    </w:rPr>
  </w:style>
  <w:style w:type="character" w:styleId="FootnoteCharacters">
    <w:name w:val="Footnote Characters"/>
    <w:basedOn w:val="DefaultParagraphFont"/>
    <w:qFormat/>
    <w:rPr>
      <w:sz w:val="20"/>
      <w:szCs w:val="20"/>
      <w:vertAlign w:val="superscript"/>
    </w:rPr>
  </w:style>
  <w:style w:type="character" w:styleId="Hyperlink">
    <w:name w:val="Hyperlink"/>
    <w:basedOn w:val="DefaultParagraphFont"/>
    <w:qFormat/>
    <w:rPr>
      <w:color w:val="0000FF"/>
      <w:sz w:val="20"/>
      <w:szCs w:val="2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sz w:val="24"/>
      <w:szCs w:val="24"/>
    </w:rPr>
  </w:style>
  <w:style w:type="paragraph" w:styleId="BodyText">
    <w:name w:val="Body Text"/>
    <w:basedOn w:val="Normal"/>
    <w:pPr>
      <w:spacing w:lineRule="auto" w:line="480"/>
    </w:pPr>
    <w:rPr>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480"/>
      <w:ind w:firstLine="720" w:start="0" w:end="0"/>
    </w:pPr>
    <w:rPr>
      <w:sz w:val="24"/>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SingleSpacing">
    <w:name w:val="Single Spacing"/>
    <w:basedOn w:val="Normal"/>
    <w:qFormat/>
    <w:pPr>
      <w:spacing w:lineRule="exact" w:line="254"/>
    </w:pPr>
    <w:rPr/>
  </w:style>
  <w:style w:type="paragraph" w:styleId="DoubleSpacing">
    <w:name w:val="Double Spacing"/>
    <w:basedOn w:val="Normal"/>
    <w:qFormat/>
    <w:pPr>
      <w:spacing w:lineRule="exact" w:line="508"/>
    </w:pPr>
    <w:rPr/>
  </w:style>
  <w:style w:type="paragraph" w:styleId="BodyText2">
    <w:name w:val="Body Text 2"/>
    <w:basedOn w:val="Normal"/>
    <w:qFormat/>
    <w:pPr>
      <w:spacing w:lineRule="exact" w:line="508"/>
    </w:pPr>
    <w:rPr>
      <w:sz w:val="24"/>
      <w:szCs w:val="24"/>
    </w:rPr>
  </w:style>
  <w:style w:type="paragraph" w:styleId="BodyTextIndent2">
    <w:name w:val="Body Text Indent 2"/>
    <w:basedOn w:val="Normal"/>
    <w:qFormat/>
    <w:pPr>
      <w:ind w:hanging="0" w:start="360" w:end="0"/>
    </w:pPr>
    <w:rPr>
      <w:sz w:val="24"/>
      <w:szCs w:val="24"/>
    </w:rPr>
  </w:style>
  <w:style w:type="paragraph" w:styleId="QA">
    <w:name w:val="Q&amp;A"/>
    <w:basedOn w:val="Normal"/>
    <w:qFormat/>
    <w:pPr>
      <w:tabs>
        <w:tab w:val="clear" w:pos="720"/>
        <w:tab w:val="left" w:pos="1080" w:leader="none"/>
      </w:tabs>
      <w:spacing w:lineRule="auto" w:line="360"/>
      <w:ind w:hanging="360" w:start="720" w:end="0"/>
    </w:pPr>
    <w:rPr>
      <w:spacing w:val="-3"/>
      <w:sz w:val="24"/>
      <w:szCs w:val="24"/>
    </w:rPr>
  </w:style>
  <w:style w:type="paragraph" w:styleId="zAddressee">
    <w:name w:val="zAddressee"/>
    <w:basedOn w:val="Normal"/>
    <w:next w:val="Normal"/>
    <w:qFormat/>
    <w:pPr>
      <w:tabs>
        <w:tab w:val="clear" w:pos="720"/>
        <w:tab w:val="left" w:pos="-720" w:leader="none"/>
      </w:tabs>
      <w:suppressAutoHyphens w:val="true"/>
      <w:spacing w:before="0" w:after="240"/>
    </w:pPr>
    <w:rPr>
      <w:sz w:val="24"/>
      <w:szCs w:val="24"/>
    </w:rPr>
  </w:style>
  <w:style w:type="paragraph" w:styleId="zRe">
    <w:name w:val="zRe"/>
    <w:basedOn w:val="Normal"/>
    <w:next w:val="Normal"/>
    <w:qFormat/>
    <w:pPr>
      <w:tabs>
        <w:tab w:val="clear" w:pos="720"/>
        <w:tab w:val="left" w:pos="-720" w:leader="none"/>
      </w:tabs>
      <w:suppressAutoHyphens w:val="true"/>
      <w:spacing w:before="240" w:after="240"/>
      <w:ind w:hanging="720" w:start="1440" w:end="0"/>
    </w:pPr>
    <w:rPr>
      <w:sz w:val="24"/>
      <w:szCs w:val="24"/>
    </w:rPr>
  </w:style>
  <w:style w:type="paragraph" w:styleId="zTitle">
    <w:name w:val="zTitle"/>
    <w:basedOn w:val="Normal"/>
    <w:qFormat/>
    <w:pPr>
      <w:jc w:val="center"/>
    </w:pPr>
    <w:rPr>
      <w:rFonts w:ascii="Courier New" w:hAnsi="Courier New" w:eastAsia="Courier New" w:cs="Courier New"/>
      <w:b/>
      <w:bCs/>
      <w:sz w:val="24"/>
      <w:szCs w:val="24"/>
    </w:rPr>
  </w:style>
  <w:style w:type="paragraph" w:styleId="Header">
    <w:name w:val="header"/>
    <w:basedOn w:val="Normal"/>
    <w:pPr>
      <w:tabs>
        <w:tab w:val="clear" w:pos="720"/>
        <w:tab w:val="center" w:pos="4320" w:leader="none"/>
        <w:tab w:val="right" w:pos="8640" w:leader="none"/>
      </w:tabs>
    </w:pPr>
    <w:rPr/>
  </w:style>
  <w:style w:type="paragraph" w:styleId="BodyText3">
    <w:name w:val="Body Text 3"/>
    <w:basedOn w:val="Normal"/>
    <w:qFormat/>
    <w:pPr>
      <w:spacing w:lineRule="auto" w:line="480"/>
      <w:jc w:val="both"/>
    </w:pPr>
    <w:rPr>
      <w:rFonts w:ascii="Arial" w:hAnsi="Arial" w:eastAsia="Arial" w:cs="Arial"/>
      <w:sz w:val="24"/>
      <w:szCs w:val="24"/>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2000-10-04T23:34:00Z</dcterms:created>
  <dc:creator>CEC</dc:creator>
  <dc:description/>
  <dc:language>en-CA</dc:language>
  <cp:lastModifiedBy>Arter &amp; Hadden</cp:lastModifiedBy>
  <cp:lastPrinted>2000-10-05T11:30:00Z</cp:lastPrinted>
  <dcterms:modified xsi:type="dcterms:W3CDTF">2000-10-05T16:00:00Z</dcterms:modified>
  <cp:revision>7</cp:revision>
  <dc:subject/>
  <dc:title>UNITED STATES OF AMERICA</dc:title>
</cp:coreProperties>
</file>