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irmName"/>
        <w:rPr/>
      </w:pPr>
      <w:r>
        <w:rPr/>
        <w:t>Foley &amp; lardner</w:t>
      </w:r>
    </w:p>
    <w:p>
      <w:pPr>
        <w:pStyle w:val="MemoTitle"/>
        <w:rPr/>
      </w:pPr>
      <w:r>
        <w:rPr/>
        <w:t>Memorandum</w:t>
      </w:r>
    </w:p>
    <w:p>
      <w:pPr>
        <w:pStyle w:val="ClientMatter"/>
        <w:rPr/>
      </w:pPr>
      <w:r>
        <w:rPr/>
        <w:t>client-matter number</w:t>
      </w:r>
    </w:p>
    <w:p>
      <w:pPr>
        <w:pStyle w:val="ClientMatter"/>
        <w:spacing w:before="0" w:after="240"/>
        <w:rPr/>
      </w:pPr>
      <w:r>
        <w:rPr/>
        <w:t>086120-0369</w:t>
      </w:r>
    </w:p>
    <w:tbl>
      <w:tblPr>
        <w:tblW w:w="9590" w:type="dxa"/>
        <w:jc w:val="start"/>
        <w:tblInd w:w="0" w:type="dxa"/>
        <w:tblLayout w:type="fixed"/>
        <w:tblCellMar>
          <w:top w:w="0" w:type="dxa"/>
          <w:start w:w="108" w:type="dxa"/>
          <w:bottom w:w="0" w:type="dxa"/>
          <w:end w:w="108" w:type="dxa"/>
        </w:tblCellMar>
      </w:tblPr>
      <w:tblGrid>
        <w:gridCol w:w="1454"/>
        <w:gridCol w:w="4068"/>
        <w:gridCol w:w="4068"/>
      </w:tblGrid>
      <w:tr>
        <w:trPr/>
        <w:tc>
          <w:tcPr>
            <w:tcW w:w="1454" w:type="dxa"/>
            <w:tcBorders/>
          </w:tcPr>
          <w:p>
            <w:pPr>
              <w:pStyle w:val="MemoHeadings"/>
              <w:rPr/>
            </w:pPr>
            <w:r>
              <w:rPr/>
              <w:t>TO:</w:t>
            </w:r>
          </w:p>
        </w:tc>
        <w:tc>
          <w:tcPr>
            <w:tcW w:w="4068" w:type="dxa"/>
            <w:tcBorders/>
          </w:tcPr>
          <w:p>
            <w:pPr>
              <w:pStyle w:val="MemoText"/>
              <w:rPr/>
            </w:pPr>
            <w:r>
              <w:rPr/>
              <w:t>Andy Katz</w:t>
            </w:r>
          </w:p>
          <w:p>
            <w:pPr>
              <w:pStyle w:val="MemoText"/>
              <w:rPr/>
            </w:pPr>
            <w:r>
              <w:rPr/>
              <w:t>Edison Electric Institute</w:t>
            </w:r>
          </w:p>
        </w:tc>
        <w:tc>
          <w:tcPr>
            <w:tcW w:w="4068" w:type="dxa"/>
            <w:tcBorders/>
          </w:tcPr>
          <w:p>
            <w:pPr>
              <w:pStyle w:val="MemoText"/>
              <w:snapToGrid w:val="false"/>
              <w:rPr/>
            </w:pPr>
            <w:r>
              <w:rPr/>
            </w:r>
          </w:p>
        </w:tc>
      </w:tr>
      <w:tr>
        <w:trPr/>
        <w:tc>
          <w:tcPr>
            <w:tcW w:w="1454" w:type="dxa"/>
            <w:tcBorders/>
          </w:tcPr>
          <w:p>
            <w:pPr>
              <w:pStyle w:val="MemoHeadings"/>
              <w:snapToGrid w:val="false"/>
              <w:rPr/>
            </w:pPr>
            <w:r>
              <w:rPr/>
            </w:r>
          </w:p>
        </w:tc>
        <w:tc>
          <w:tcPr>
            <w:tcW w:w="8136" w:type="dxa"/>
            <w:gridSpan w:val="2"/>
            <w:tcBorders/>
          </w:tcPr>
          <w:p>
            <w:pPr>
              <w:pStyle w:val="MemoText"/>
              <w:snapToGrid w:val="false"/>
              <w:rPr/>
            </w:pPr>
            <w:r>
              <w:rPr/>
            </w:r>
          </w:p>
        </w:tc>
      </w:tr>
      <w:tr>
        <w:trPr/>
        <w:tc>
          <w:tcPr>
            <w:tcW w:w="1454" w:type="dxa"/>
            <w:tcBorders/>
          </w:tcPr>
          <w:p>
            <w:pPr>
              <w:pStyle w:val="MemoHeadings"/>
              <w:rPr/>
            </w:pPr>
            <w:r>
              <w:rPr/>
              <w:t>FROM:</w:t>
            </w:r>
          </w:p>
        </w:tc>
        <w:tc>
          <w:tcPr>
            <w:tcW w:w="8136" w:type="dxa"/>
            <w:gridSpan w:val="2"/>
            <w:tcBorders/>
          </w:tcPr>
          <w:p>
            <w:pPr>
              <w:pStyle w:val="MemoText"/>
              <w:rPr/>
            </w:pPr>
            <w:r>
              <w:rPr/>
              <w:t>Eric C. Nelson</w:t>
            </w:r>
          </w:p>
          <w:p>
            <w:pPr>
              <w:pStyle w:val="MemoText"/>
              <w:rPr/>
            </w:pPr>
            <w:r>
              <w:rPr/>
              <w:t>Thomas McCann Mullooly</w:t>
            </w:r>
          </w:p>
        </w:tc>
      </w:tr>
      <w:tr>
        <w:trPr/>
        <w:tc>
          <w:tcPr>
            <w:tcW w:w="1454" w:type="dxa"/>
            <w:tcBorders/>
          </w:tcPr>
          <w:p>
            <w:pPr>
              <w:pStyle w:val="MemoHeadings"/>
              <w:snapToGrid w:val="false"/>
              <w:rPr/>
            </w:pPr>
            <w:r>
              <w:rPr/>
            </w:r>
          </w:p>
        </w:tc>
        <w:tc>
          <w:tcPr>
            <w:tcW w:w="8136" w:type="dxa"/>
            <w:gridSpan w:val="2"/>
            <w:tcBorders/>
          </w:tcPr>
          <w:p>
            <w:pPr>
              <w:pStyle w:val="MemoText"/>
              <w:snapToGrid w:val="false"/>
              <w:rPr/>
            </w:pPr>
            <w:r>
              <w:rPr/>
            </w:r>
          </w:p>
        </w:tc>
      </w:tr>
      <w:tr>
        <w:trPr/>
        <w:tc>
          <w:tcPr>
            <w:tcW w:w="1454" w:type="dxa"/>
            <w:tcBorders/>
          </w:tcPr>
          <w:p>
            <w:pPr>
              <w:pStyle w:val="MemoHeadings"/>
              <w:rPr/>
            </w:pPr>
            <w:r>
              <w:rPr/>
              <w:t>DATE:</w:t>
            </w:r>
          </w:p>
        </w:tc>
        <w:tc>
          <w:tcPr>
            <w:tcW w:w="4068" w:type="dxa"/>
            <w:tcBorders/>
          </w:tcPr>
          <w:p>
            <w:pPr>
              <w:pStyle w:val="MemoText"/>
              <w:rPr/>
            </w:pPr>
            <w:r>
              <w:rPr/>
              <w:fldChar w:fldCharType="begin"/>
            </w:r>
            <w:r>
              <w:rPr/>
              <w:instrText xml:space="preserve"> DATE \@"MM\/dd\/yyyy" </w:instrText>
            </w:r>
            <w:r>
              <w:rPr/>
              <w:fldChar w:fldCharType="separate"/>
            </w:r>
            <w:r>
              <w:rPr/>
              <w:t>09/28/2025</w:t>
            </w:r>
            <w:r>
              <w:rPr/>
              <w:fldChar w:fldCharType="end"/>
            </w:r>
          </w:p>
        </w:tc>
        <w:tc>
          <w:tcPr>
            <w:tcW w:w="4068" w:type="dxa"/>
            <w:tcBorders/>
          </w:tcPr>
          <w:p>
            <w:pPr>
              <w:pStyle w:val="MemoText"/>
              <w:snapToGrid w:val="false"/>
              <w:rPr/>
            </w:pPr>
            <w:r>
              <w:rPr/>
            </w:r>
          </w:p>
        </w:tc>
      </w:tr>
      <w:tr>
        <w:trPr/>
        <w:tc>
          <w:tcPr>
            <w:tcW w:w="1454" w:type="dxa"/>
            <w:tcBorders/>
          </w:tcPr>
          <w:p>
            <w:pPr>
              <w:pStyle w:val="MemoHeadings"/>
              <w:snapToGrid w:val="false"/>
              <w:rPr/>
            </w:pPr>
            <w:r>
              <w:rPr/>
            </w:r>
          </w:p>
        </w:tc>
        <w:tc>
          <w:tcPr>
            <w:tcW w:w="8136" w:type="dxa"/>
            <w:gridSpan w:val="2"/>
            <w:tcBorders/>
          </w:tcPr>
          <w:p>
            <w:pPr>
              <w:pStyle w:val="MemoText"/>
              <w:snapToGrid w:val="false"/>
              <w:rPr/>
            </w:pPr>
            <w:r>
              <w:rPr/>
            </w:r>
          </w:p>
        </w:tc>
      </w:tr>
      <w:tr>
        <w:trPr/>
        <w:tc>
          <w:tcPr>
            <w:tcW w:w="1454" w:type="dxa"/>
            <w:tcBorders/>
          </w:tcPr>
          <w:p>
            <w:pPr>
              <w:pStyle w:val="MemoHeadings"/>
              <w:rPr/>
            </w:pPr>
            <w:r>
              <w:rPr/>
              <w:t>RE:</w:t>
            </w:r>
          </w:p>
        </w:tc>
        <w:tc>
          <w:tcPr>
            <w:tcW w:w="8136" w:type="dxa"/>
            <w:gridSpan w:val="2"/>
            <w:tcBorders/>
          </w:tcPr>
          <w:p>
            <w:pPr>
              <w:pStyle w:val="MemoText"/>
              <w:rPr/>
            </w:pPr>
            <w:r>
              <w:rPr/>
              <w:t>Comments on EEI Master Power Purchase &amp; Sale Agreement</w:t>
            </w:r>
          </w:p>
        </w:tc>
      </w:tr>
      <w:tr>
        <w:trPr/>
        <w:tc>
          <w:tcPr>
            <w:tcW w:w="1454" w:type="dxa"/>
            <w:tcBorders/>
          </w:tcPr>
          <w:p>
            <w:pPr>
              <w:pStyle w:val="MemoHeadings"/>
              <w:snapToGrid w:val="false"/>
              <w:rPr/>
            </w:pPr>
            <w:r>
              <w:rPr/>
            </w:r>
          </w:p>
        </w:tc>
        <w:tc>
          <w:tcPr>
            <w:tcW w:w="8136" w:type="dxa"/>
            <w:gridSpan w:val="2"/>
            <w:tcBorders/>
          </w:tcPr>
          <w:p>
            <w:pPr>
              <w:pStyle w:val="MemoText"/>
              <w:snapToGrid w:val="false"/>
              <w:rPr/>
            </w:pPr>
            <w:r>
              <w:rPr/>
            </w:r>
          </w:p>
        </w:tc>
      </w:tr>
      <w:tr>
        <w:trPr/>
        <w:tc>
          <w:tcPr>
            <w:tcW w:w="1454" w:type="dxa"/>
            <w:tcBorders/>
          </w:tcPr>
          <w:p>
            <w:pPr>
              <w:pStyle w:val="MemoHeadings"/>
              <w:snapToGrid w:val="false"/>
              <w:rPr/>
            </w:pPr>
            <w:r>
              <w:rPr/>
            </w:r>
          </w:p>
        </w:tc>
        <w:tc>
          <w:tcPr>
            <w:tcW w:w="8136" w:type="dxa"/>
            <w:gridSpan w:val="2"/>
            <w:tcBorders/>
          </w:tcPr>
          <w:p>
            <w:pPr>
              <w:pStyle w:val="MemoText"/>
              <w:snapToGrid w:val="false"/>
              <w:rPr/>
            </w:pPr>
            <w:r>
              <w:rPr/>
            </w:r>
          </w:p>
        </w:tc>
      </w:tr>
      <w:tr>
        <w:trPr/>
        <w:tc>
          <w:tcPr>
            <w:tcW w:w="1454" w:type="dxa"/>
            <w:tcBorders>
              <w:bottom w:val="single" w:sz="6" w:space="0" w:color="000000"/>
            </w:tcBorders>
          </w:tcPr>
          <w:p>
            <w:pPr>
              <w:pStyle w:val="MemoHeadings"/>
              <w:snapToGrid w:val="false"/>
              <w:rPr/>
            </w:pPr>
            <w:r>
              <w:rPr/>
            </w:r>
          </w:p>
        </w:tc>
        <w:tc>
          <w:tcPr>
            <w:tcW w:w="8136" w:type="dxa"/>
            <w:gridSpan w:val="2"/>
            <w:tcBorders>
              <w:bottom w:val="single" w:sz="6" w:space="0" w:color="000000"/>
            </w:tcBorders>
          </w:tcPr>
          <w:p>
            <w:pPr>
              <w:pStyle w:val="MemoText"/>
              <w:snapToGrid w:val="false"/>
              <w:rPr/>
            </w:pPr>
            <w:r>
              <w:rPr/>
            </w:r>
          </w:p>
        </w:tc>
      </w:tr>
      <w:tr>
        <w:trPr/>
        <w:tc>
          <w:tcPr>
            <w:tcW w:w="1454" w:type="dxa"/>
            <w:tcBorders/>
          </w:tcPr>
          <w:p>
            <w:pPr>
              <w:pStyle w:val="MemoHeadings"/>
              <w:snapToGrid w:val="false"/>
              <w:rPr/>
            </w:pPr>
            <w:r>
              <w:rPr/>
            </w:r>
          </w:p>
        </w:tc>
        <w:tc>
          <w:tcPr>
            <w:tcW w:w="8136" w:type="dxa"/>
            <w:gridSpan w:val="2"/>
            <w:tcBorders/>
          </w:tcPr>
          <w:p>
            <w:pPr>
              <w:pStyle w:val="MemoText"/>
              <w:snapToGrid w:val="false"/>
              <w:rPr/>
            </w:pPr>
            <w:r>
              <w:rPr/>
            </w:r>
          </w:p>
        </w:tc>
      </w:tr>
    </w:tbl>
    <w:p>
      <w:pPr>
        <w:pStyle w:val="Normal"/>
        <w:rPr/>
      </w:pPr>
      <w:r>
        <w:rPr/>
        <w:tab/>
        <w:tab/>
        <w:t xml:space="preserve">As representatives of WPS Resources, Inc., and on behalf both its local utility affiliate Wisconsin Public Service Corporation and its power marketing subsidiary, WPS Energy Services Inc., we submit the following comments for consideration by the EEI Master Power Purchase &amp; Sale Agreement drafting committee.  </w:t>
      </w:r>
    </w:p>
    <w:p>
      <w:pPr>
        <w:pStyle w:val="Normal"/>
        <w:rPr>
          <w:lang w:eastAsia="en-US"/>
        </w:rPr>
      </w:pPr>
      <w:r>
        <w:rPr>
          <w:lang w:eastAsia="en-US"/>
        </w:rPr>
      </w:r>
    </w:p>
    <w:p>
      <w:pPr>
        <w:pStyle w:val="Normal"/>
        <w:rPr>
          <w:lang w:eastAsia="en-US"/>
        </w:rPr>
      </w:pPr>
      <w:r>
        <w:rPr>
          <w:lang w:eastAsia="en-US"/>
        </w:rPr>
        <w:t>GENERAL TERMS AND CONDITIONS:</w:t>
      </w:r>
    </w:p>
    <w:p>
      <w:pPr>
        <w:pStyle w:val="Normal"/>
        <w:rPr>
          <w:lang w:eastAsia="en-US"/>
        </w:rPr>
      </w:pPr>
      <w:r>
        <w:rPr>
          <w:lang w:eastAsia="en-US"/>
        </w:rPr>
      </w:r>
    </w:p>
    <w:p>
      <w:pPr>
        <w:pStyle w:val="Normal"/>
        <w:rPr>
          <w:lang w:eastAsia="en-US"/>
        </w:rPr>
      </w:pPr>
      <w:r>
        <w:rPr>
          <w:lang w:eastAsia="en-US"/>
        </w:rPr>
        <w:t>1)</w:t>
        <w:tab/>
        <w:t>Section 1.3:  Consider adding after "against it" at the end of subsection (i) the following:  “and such involuntary petition is not dismissed within thirty (30) days after the date it is filed or commenced".</w:t>
      </w:r>
    </w:p>
    <w:p>
      <w:pPr>
        <w:pStyle w:val="Normal"/>
        <w:rPr>
          <w:lang w:eastAsia="en-US"/>
        </w:rPr>
      </w:pPr>
      <w:r>
        <w:rPr>
          <w:lang w:eastAsia="en-US"/>
        </w:rPr>
      </w:r>
    </w:p>
    <w:p>
      <w:pPr>
        <w:pStyle w:val="Normal"/>
        <w:rPr>
          <w:lang w:eastAsia="en-US"/>
        </w:rPr>
      </w:pPr>
      <w:r>
        <w:rPr>
          <w:lang w:eastAsia="en-US"/>
        </w:rPr>
        <w:t>2)</w:t>
        <w:tab/>
        <w:t>Section 1.4:  The section is ambiguous due to its definition of “relevant Party" to be both  the sender and recipient of notices and payments.  If the two Parties are in different time zones, it is therefore unclear when the Business Day begins and ends.  This can have an impact on various other timing issues in the agreement.  We suggest: delete “and” in the last sentence and replace with “or, as the case may be”.</w:t>
      </w:r>
    </w:p>
    <w:p>
      <w:pPr>
        <w:pStyle w:val="Normal"/>
        <w:rPr>
          <w:lang w:eastAsia="en-US"/>
        </w:rPr>
      </w:pPr>
      <w:r>
        <w:rPr>
          <w:lang w:eastAsia="en-US"/>
        </w:rPr>
      </w:r>
    </w:p>
    <w:p>
      <w:pPr>
        <w:pStyle w:val="Normal"/>
        <w:rPr>
          <w:lang w:eastAsia="en-US"/>
        </w:rPr>
      </w:pPr>
      <w:r>
        <w:rPr>
          <w:lang w:eastAsia="en-US"/>
        </w:rPr>
        <w:t>3)</w:t>
        <w:tab/>
        <w:t>Section 1.8:  The definition of "Claims" could be improved or clarified in several respects.  The concept of what is a "third party claim or action" is not spelled out, but should be.  In line 2, it may be wise to replace "that" with "to the extent they".  In line 3, the words "under this Agreement" probably should be added after "indemnity".  Also in line 3, is the reference to "damages" meant to include all damages, including consequential and incidental damages?   Again in line 3, the word "reasonable" should be added before "attorneys'", and insert "and disbursements" after "fees".</w:t>
      </w:r>
    </w:p>
    <w:p>
      <w:pPr>
        <w:pStyle w:val="Normal"/>
        <w:rPr>
          <w:lang w:eastAsia="en-US"/>
        </w:rPr>
      </w:pPr>
      <w:r>
        <w:rPr>
          <w:lang w:eastAsia="en-US"/>
        </w:rPr>
      </w:r>
    </w:p>
    <w:p>
      <w:pPr>
        <w:pStyle w:val="Normal"/>
        <w:rPr>
          <w:lang w:eastAsia="en-US"/>
        </w:rPr>
      </w:pPr>
      <w:r>
        <w:rPr>
          <w:lang w:eastAsia="en-US"/>
        </w:rPr>
        <w:t>4)</w:t>
        <w:tab/>
        <w:t xml:space="preserve">Section 1.11:  In line 3, it would be useful to add "Non-Defaulting" before "Party".  It is not clear what costs and expenses of "entering into new arrangements" are covered.  In line 5, what does the term "expenses" include,  just attorney’s expenses or is it intended to be broader?  This should be clarified.  </w:t>
      </w:r>
    </w:p>
    <w:p>
      <w:pPr>
        <w:pStyle w:val="Normal"/>
        <w:rPr>
          <w:lang w:eastAsia="en-US"/>
        </w:rPr>
      </w:pPr>
      <w:r>
        <w:rPr>
          <w:lang w:eastAsia="en-US"/>
        </w:rPr>
      </w:r>
    </w:p>
    <w:p>
      <w:pPr>
        <w:pStyle w:val="Normal"/>
        <w:rPr>
          <w:lang w:eastAsia="en-US"/>
        </w:rPr>
      </w:pPr>
      <w:r>
        <w:rPr>
          <w:lang w:eastAsia="en-US"/>
        </w:rPr>
        <w:t>5)</w:t>
        <w:tab/>
        <w:t xml:space="preserve">Section 1.20:  The word "and" in line 1 should be "or". </w:t>
      </w:r>
    </w:p>
    <w:p>
      <w:pPr>
        <w:pStyle w:val="Normal"/>
        <w:rPr>
          <w:lang w:eastAsia="en-US"/>
        </w:rPr>
      </w:pPr>
      <w:r>
        <w:rPr>
          <w:lang w:eastAsia="en-US"/>
        </w:rPr>
      </w:r>
    </w:p>
    <w:p>
      <w:pPr>
        <w:pStyle w:val="Normal"/>
        <w:rPr/>
      </w:pPr>
      <w:r>
        <w:rPr>
          <w:lang w:eastAsia="en-US"/>
        </w:rPr>
        <w:t>6)</w:t>
        <w:tab/>
        <w:t xml:space="preserve">Section 1.24:  What exactly comes within the scope of the term "economic benefit"? What is the discount rate to be used to complete the present value calculation?  What constitutes a "commercially reasonable" determination? This definition gives little guidance in terms of the assumptions to be used.  But since this can be a daily equation, more guidance is needed..  At a minimum, a discount rate should be provided.   (For example:  </w:t>
      </w:r>
      <w:r>
        <w:rPr/>
        <w:t xml:space="preserve">“Each present value calculation shall be made using as a discount rate the prime rate in effect on the day the calculation is made, as identified in The Wall Street Journal.”)  </w:t>
      </w:r>
      <w:r>
        <w:rPr>
          <w:lang w:eastAsia="en-US"/>
        </w:rPr>
        <w:t>It would further help to describe what is or is not an economic benefit.</w:t>
      </w:r>
    </w:p>
    <w:p>
      <w:pPr>
        <w:pStyle w:val="Normal"/>
        <w:rPr>
          <w:lang w:eastAsia="en-US"/>
        </w:rPr>
      </w:pPr>
      <w:r>
        <w:rPr>
          <w:lang w:eastAsia="en-US"/>
        </w:rPr>
      </w:r>
    </w:p>
    <w:p>
      <w:pPr>
        <w:pStyle w:val="Normal"/>
        <w:rPr>
          <w:lang w:eastAsia="en-US"/>
        </w:rPr>
      </w:pPr>
      <w:r>
        <w:rPr>
          <w:lang w:eastAsia="en-US"/>
        </w:rPr>
        <w:t>7)</w:t>
        <w:tab/>
        <w:t>Section 1.28:  The comments made above with respect to "Gains" apply equally with respect to Losses; very little guidance is given in terms of making this calculation, and that could lead to wild and unpredictable results in practice.  The term "economic loss" is referred to, but is not defined; this appears to be a very broad term that would include consequential damages.  Is that intended?</w:t>
      </w:r>
    </w:p>
    <w:p>
      <w:pPr>
        <w:pStyle w:val="Normal"/>
        <w:rPr>
          <w:lang w:eastAsia="en-US"/>
        </w:rPr>
      </w:pPr>
      <w:r>
        <w:rPr>
          <w:lang w:eastAsia="en-US"/>
        </w:rPr>
      </w:r>
    </w:p>
    <w:p>
      <w:pPr>
        <w:pStyle w:val="Normal"/>
        <w:rPr>
          <w:lang w:eastAsia="en-US"/>
        </w:rPr>
      </w:pPr>
      <w:r>
        <w:rPr>
          <w:lang w:eastAsia="en-US"/>
        </w:rPr>
        <w:t>8)</w:t>
        <w:tab/>
        <w:t>Section 1.31:  See the comment above regarding Section 1.4.</w:t>
      </w:r>
    </w:p>
    <w:p>
      <w:pPr>
        <w:pStyle w:val="Normal"/>
        <w:rPr>
          <w:lang w:eastAsia="en-US"/>
        </w:rPr>
      </w:pPr>
      <w:r>
        <w:rPr>
          <w:lang w:eastAsia="en-US"/>
        </w:rPr>
      </w:r>
    </w:p>
    <w:p>
      <w:pPr>
        <w:pStyle w:val="Normal"/>
        <w:rPr>
          <w:lang w:eastAsia="en-US"/>
        </w:rPr>
      </w:pPr>
      <w:r>
        <w:rPr>
          <w:lang w:eastAsia="en-US"/>
        </w:rPr>
        <w:t>9)</w:t>
        <w:tab/>
        <w:t>Section 1.50:  The cross reference here should be to Section 2.5, not Section 2.4.</w:t>
      </w:r>
    </w:p>
    <w:p>
      <w:pPr>
        <w:pStyle w:val="Normal"/>
        <w:rPr>
          <w:lang w:eastAsia="en-US"/>
        </w:rPr>
      </w:pPr>
      <w:r>
        <w:rPr>
          <w:lang w:eastAsia="en-US"/>
        </w:rPr>
      </w:r>
    </w:p>
    <w:p>
      <w:pPr>
        <w:pStyle w:val="Normal"/>
        <w:rPr>
          <w:lang w:eastAsia="en-US"/>
        </w:rPr>
      </w:pPr>
      <w:r>
        <w:rPr>
          <w:lang w:eastAsia="en-US"/>
        </w:rPr>
        <w:t>10)</w:t>
        <w:tab/>
        <w:t>Sections 1.51, 1.53:  For the definitions of Replacement Price and Sales Price, was consideration given to how any imbalance charges that one side or the other might incur would be included?  Are such charges intended to be part of “additional transmission charges”?</w:t>
      </w:r>
    </w:p>
    <w:p>
      <w:pPr>
        <w:pStyle w:val="Normal"/>
        <w:rPr>
          <w:lang w:eastAsia="en-US"/>
        </w:rPr>
      </w:pPr>
      <w:r>
        <w:rPr>
          <w:lang w:eastAsia="en-US"/>
        </w:rPr>
      </w:r>
    </w:p>
    <w:p>
      <w:pPr>
        <w:pStyle w:val="Normal"/>
        <w:rPr>
          <w:lang w:eastAsia="en-US"/>
        </w:rPr>
      </w:pPr>
      <w:r>
        <w:rPr>
          <w:lang w:eastAsia="en-US"/>
        </w:rPr>
        <w:t>11)</w:t>
        <w:tab/>
        <w:t>Section 2.2:  In line 3, insert "or addenda" after "supplements".</w:t>
      </w:r>
    </w:p>
    <w:p>
      <w:pPr>
        <w:pStyle w:val="Normal"/>
        <w:rPr>
          <w:lang w:eastAsia="en-US"/>
        </w:rPr>
      </w:pPr>
      <w:r>
        <w:rPr>
          <w:lang w:eastAsia="en-US"/>
        </w:rPr>
      </w:r>
    </w:p>
    <w:p>
      <w:pPr>
        <w:pStyle w:val="Normal"/>
        <w:rPr>
          <w:lang w:eastAsia="en-US"/>
        </w:rPr>
      </w:pPr>
      <w:r>
        <w:rPr>
          <w:lang w:eastAsia="en-US"/>
        </w:rPr>
        <w:t>12)</w:t>
        <w:tab/>
        <w:t>Section 2.3:  Note that the last sentence appears to create a contradiction:  while earlier sentences indicate that a Party's failure to respond to a Confirmation will under certain circumstances be deemed to mean that the Party has accepted the terms proposed in the Confirmation, the last sentence indicates that a failure to return an executed Confirmation does not invalidate the Transaction agreed to by the Parties.  What does this mean?  Which terms govern in this situation, the terms of the oral Transaction, or the terms of the Confirmation that was deemed to be accepted?  Note also that there is no process outlined for dealing with objections to a Confirmation.  Note also that here, as in other places in the document, what will constitute "execution" of a Confirmation is not spelled out.  (More generally, the document does not describe in detail when a Transaction will have been deemed to have been "entered into".)</w:t>
      </w:r>
    </w:p>
    <w:p>
      <w:pPr>
        <w:pStyle w:val="Normal"/>
        <w:rPr>
          <w:lang w:eastAsia="en-US"/>
        </w:rPr>
      </w:pPr>
      <w:r>
        <w:rPr>
          <w:lang w:eastAsia="en-US"/>
        </w:rPr>
      </w:r>
    </w:p>
    <w:p>
      <w:pPr>
        <w:pStyle w:val="Normal"/>
        <w:rPr>
          <w:lang w:eastAsia="en-US"/>
        </w:rPr>
      </w:pPr>
      <w:r>
        <w:rPr>
          <w:lang w:eastAsia="en-US"/>
        </w:rPr>
        <w:t>13)</w:t>
        <w:tab/>
        <w:t>Section 2.4:  In line 7, it would be prudent to delete "either orally or";  the general terms and conditions of the Master Agreement should not be subject to oral revision.  The proviso at the end of this section is troubling in this respect; it suggests that an oral Transaction CAN modify the general terms of the Master Agreement.  An agreement to amend the Master should be in writing, and not just in a potentially oral Transaction.</w:t>
      </w:r>
    </w:p>
    <w:p>
      <w:pPr>
        <w:pStyle w:val="Normal"/>
        <w:rPr>
          <w:lang w:eastAsia="en-US"/>
        </w:rPr>
      </w:pPr>
      <w:r>
        <w:rPr>
          <w:lang w:eastAsia="en-US"/>
        </w:rPr>
      </w:r>
    </w:p>
    <w:p>
      <w:pPr>
        <w:pStyle w:val="Normal"/>
        <w:rPr>
          <w:lang w:eastAsia="en-US"/>
        </w:rPr>
      </w:pPr>
      <w:r>
        <w:rPr>
          <w:lang w:eastAsia="en-US"/>
        </w:rPr>
        <w:t>14)</w:t>
        <w:tab/>
        <w:t xml:space="preserve">Section 3.3:  A partial problem should only provide a partial excuse.  Thus, </w:t>
      </w:r>
      <w:r>
        <w:rPr>
          <w:color w:val="000000"/>
        </w:rPr>
        <w:t>delete the words “, in whole or part,” from line 2.  Insert “to such extent” between “shall” and “be” in line 4.  In line 7, replace “remedy” with “attempt to overcome the effects of”.</w:t>
      </w:r>
    </w:p>
    <w:p>
      <w:pPr>
        <w:pStyle w:val="Normal"/>
        <w:rPr>
          <w:lang w:eastAsia="en-US"/>
        </w:rPr>
      </w:pPr>
      <w:r>
        <w:rPr>
          <w:lang w:eastAsia="en-US"/>
        </w:rPr>
      </w:r>
    </w:p>
    <w:p>
      <w:pPr>
        <w:pStyle w:val="Normal"/>
        <w:rPr>
          <w:lang w:eastAsia="en-US"/>
        </w:rPr>
      </w:pPr>
      <w:r>
        <w:rPr>
          <w:lang w:eastAsia="en-US"/>
        </w:rPr>
        <w:t>15)</w:t>
        <w:tab/>
        <w:t>Section 4.1:  This section is not as clear as it might be in terms of describing how the process works with respect to partial defaults.  Should line 2 also reference Force Majeure events as a viable excuse for a failure to deliver?  What happens if there is a dispute between the Parties with respect to the deficiency amount to be paid by the Seller that has been calculated by Buyer?</w:t>
      </w:r>
    </w:p>
    <w:p>
      <w:pPr>
        <w:pStyle w:val="Normal"/>
        <w:rPr>
          <w:lang w:eastAsia="en-US"/>
        </w:rPr>
      </w:pPr>
      <w:r>
        <w:rPr>
          <w:lang w:eastAsia="en-US"/>
        </w:rPr>
      </w:r>
    </w:p>
    <w:p>
      <w:pPr>
        <w:pStyle w:val="Normal"/>
        <w:rPr>
          <w:lang w:eastAsia="en-US"/>
        </w:rPr>
      </w:pPr>
      <w:r>
        <w:rPr>
          <w:lang w:eastAsia="en-US"/>
        </w:rPr>
        <w:t>16)</w:t>
        <w:tab/>
        <w:t>Section 4.2:  Comments corresponding to those made above with respect to Section 4.1 apply to this section, as well.</w:t>
      </w:r>
    </w:p>
    <w:p>
      <w:pPr>
        <w:pStyle w:val="Normal"/>
        <w:rPr>
          <w:lang w:eastAsia="en-US"/>
        </w:rPr>
      </w:pPr>
      <w:r>
        <w:rPr>
          <w:lang w:eastAsia="en-US"/>
        </w:rPr>
      </w:r>
    </w:p>
    <w:p>
      <w:pPr>
        <w:pStyle w:val="Normal"/>
        <w:autoSpaceDE w:val="false"/>
        <w:spacing w:lineRule="atLeast" w:line="240"/>
        <w:rPr/>
      </w:pPr>
      <w:r>
        <w:rPr>
          <w:lang w:eastAsia="en-US"/>
        </w:rPr>
        <w:t>17)</w:t>
        <w:tab/>
        <w:t xml:space="preserve">We have seen others in the industry use and we suggest adding to the EEI Master </w:t>
      </w:r>
      <w:r>
        <w:rPr/>
        <w:t>the following as a new Section 4.3 to the Agreement:</w:t>
      </w:r>
    </w:p>
    <w:p>
      <w:pPr>
        <w:pStyle w:val="Normal"/>
        <w:autoSpaceDE w:val="false"/>
        <w:spacing w:lineRule="atLeast" w:line="240"/>
        <w:rPr/>
      </w:pPr>
      <w:r>
        <w:rPr/>
      </w:r>
    </w:p>
    <w:p>
      <w:pPr>
        <w:pStyle w:val="BlockText"/>
        <w:rPr>
          <w:lang w:eastAsia="en-US"/>
        </w:rPr>
      </w:pPr>
      <w:r>
        <w:rPr/>
        <w:t>4.3</w:t>
        <w:tab/>
      </w:r>
      <w:r>
        <w:rPr>
          <w:u w:val="single"/>
        </w:rPr>
        <w:t>Suspension of Performance for Failure to Deliver/Receive</w:t>
      </w:r>
      <w:r>
        <w:rPr>
          <w:b/>
        </w:rPr>
        <w:t>.</w:t>
      </w:r>
      <w:r>
        <w:rPr/>
        <w:t xml:space="preserve">  Notwithstanding, and in addition to, the remedies provided pursuant to Sections 4.1 and 4.2, if Seller or Buyer fails to schedule and/or deliver/receive all or part of the Product pursuant to a Transaction, and such failure is not excused under the terms of the Product or by Section 3.3 or by the other Party’s failure to perform, then upon three (3) Business Days’ prior notice, and for so long as the non-performing Party fails to perform, the performing Party shall have the right to suspend its performance under any or all Transactions.</w:t>
      </w:r>
    </w:p>
    <w:p>
      <w:pPr>
        <w:pStyle w:val="Normal"/>
        <w:rPr>
          <w:lang w:eastAsia="en-US"/>
        </w:rPr>
      </w:pPr>
      <w:r>
        <w:rPr>
          <w:lang w:eastAsia="en-US"/>
        </w:rPr>
      </w:r>
    </w:p>
    <w:p>
      <w:pPr>
        <w:pStyle w:val="Normal"/>
        <w:rPr>
          <w:lang w:eastAsia="en-US"/>
        </w:rPr>
      </w:pPr>
      <w:r>
        <w:rPr>
          <w:lang w:eastAsia="en-US"/>
        </w:rPr>
        <w:t>18)</w:t>
        <w:tab/>
        <w:t>Section 5.1(f):  It might be somewhat clearer if "and" in line 2 was replaced with "if".</w:t>
      </w:r>
    </w:p>
    <w:p>
      <w:pPr>
        <w:pStyle w:val="Normal"/>
        <w:rPr>
          <w:lang w:eastAsia="en-US"/>
        </w:rPr>
      </w:pPr>
      <w:r>
        <w:rPr>
          <w:lang w:eastAsia="en-US"/>
        </w:rPr>
      </w:r>
    </w:p>
    <w:p>
      <w:pPr>
        <w:pStyle w:val="Normal"/>
        <w:rPr>
          <w:lang w:eastAsia="en-US"/>
        </w:rPr>
      </w:pPr>
      <w:r>
        <w:rPr>
          <w:lang w:eastAsia="en-US"/>
        </w:rPr>
        <w:t>19)</w:t>
        <w:tab/>
        <w:t>Section 5.1(h)(ii):  In line 4, insert "Guarantor's receipt of" before "written".  As for Section 5.1(h), note that the lead in clause ("with respect to such Party's Guarantor, if any") does not mesh well into the subsections that follow, i.e., the words do not fit.</w:t>
      </w:r>
    </w:p>
    <w:p>
      <w:pPr>
        <w:pStyle w:val="Normal"/>
        <w:rPr>
          <w:lang w:eastAsia="en-US"/>
        </w:rPr>
      </w:pPr>
      <w:r>
        <w:rPr>
          <w:lang w:eastAsia="en-US"/>
        </w:rPr>
      </w:r>
    </w:p>
    <w:p>
      <w:pPr>
        <w:pStyle w:val="Normal"/>
        <w:rPr/>
      </w:pPr>
      <w:r>
        <w:rPr/>
        <w:t>20)</w:t>
        <w:tab/>
        <w:t xml:space="preserve">Section 5.2: In line 4, "such notice" is used twice, but it is unclear what notice is being referred to.  Are the remedies identified in clauses (i), (ii) and (iii) cumulative, or alternative, or mandatory?  To provide clarity, we suggest adding the following sentence:  “These rights are cumulative and the exercise of any one of them is not a  waiver of any of the others.  On a more substantive note, is the remedy described in Section 5.2 reasonable, or is it a penalty?  Calculating the Settlement Amounts will be an arbitrary process, especially due to the imprecise definitions of Losses, Costs and Gains previously described.  The assumptions used by the Non-Defaulting Party could vary widely, leading to wildly differing calculations, and there does not appear to be much guidance given in terms of making the calculations or choosing the assumptions.  Those facts, together with the question of whether this process does or does not constitute a penalty, may make it more difficult to enforce this remedy.  On a related subject, what if the Non-Defaulting Party chooses not to exercise the rights given to it in Section 5.2? Does it have any other means of obtaining recourse against the Defaulting Party? </w:t>
      </w:r>
    </w:p>
    <w:p>
      <w:pPr>
        <w:pStyle w:val="Normal"/>
        <w:rPr/>
      </w:pPr>
      <w:r>
        <w:rPr/>
      </w:r>
    </w:p>
    <w:p>
      <w:pPr>
        <w:pStyle w:val="Normal"/>
        <w:rPr/>
      </w:pPr>
      <w:r>
        <w:rPr/>
        <w:t>21)</w:t>
        <w:tab/>
        <w:t xml:space="preserve">Section 5.7: Is the remedy identified in subsection (ii) in addition to the remedies available under Section 5.2?   Again, a clarifying sentence should be added that they are cumulative.  If so, that means that the entire process described in Sections 5.2 through 5.6 is purely optional. Is that the intent? </w:t>
      </w:r>
    </w:p>
    <w:p>
      <w:pPr>
        <w:pStyle w:val="Normal"/>
        <w:rPr/>
      </w:pPr>
      <w:r>
        <w:rPr/>
      </w:r>
    </w:p>
    <w:p>
      <w:pPr>
        <w:pStyle w:val="Normal"/>
        <w:rPr/>
      </w:pPr>
      <w:r>
        <w:rPr/>
        <w:t>22)</w:t>
        <w:tab/>
        <w:t xml:space="preserve">Section 6.3: Delete the comma after "invoice" in line 2.  In line 6, the words "required to be" may be deleted. </w:t>
      </w:r>
    </w:p>
    <w:p>
      <w:pPr>
        <w:pStyle w:val="Normal"/>
        <w:rPr/>
      </w:pPr>
      <w:r>
        <w:rPr/>
      </w:r>
    </w:p>
    <w:p>
      <w:pPr>
        <w:pStyle w:val="Normal"/>
        <w:rPr/>
      </w:pPr>
      <w:r>
        <w:rPr/>
        <w:t>23)</w:t>
        <w:tab/>
        <w:t xml:space="preserve">Section 7.1: This section contains a number of troublesome contradictions and inconsistencies.  Unless there is some compelling reason justifying their presence, the words "EXCEPT AS SET FORTH HEREIN," should be deleted from the beginning of the first sentence.  The third sentence seems to be inconsistent with Section 5.7(ii), and it does not seem to recognize either that the Agreement in several places identifies multiple express remedies, or that such express remedies do not always contain limitations.  As a result, it is difficult to understand whether and which express remedies are exclusive.  Applicability of the fourth sentence is unclear.  The words "UNLESS EXPRESSLY HEREIN PROVIDED," at the beginning of the 5th sentence suggest that consequential damages are available in some circumstances, but these circumstances are not defined.  (The definitions of "Gains" and "Losses" may encompass some consequential damages, but it is hard to tell for certain.)  That will lead to confusion, and may make the attempt at a consequential damage waiver ineffective (i.e., the Parties may end up litigating over whether or not in given circumstances consequential damages were or were not provided for).  The 5th sentence also purports to disclaim consequential damages arising under indemnity provisions (again, "unless expressly herein provided"); that could also lead to litigation, as the Parties may clash over which provision trumps, the indemnity or the consequential damage disclaimer.  The last sentence of the section attempts to add some customary liquidated damages language that was missing from Section 5.3; the language could be better drafted (for an example, see Section 2-718(1) of the UCC).  Of more significance is the question of which damages under the Agreement </w:t>
      </w:r>
      <w:r>
        <w:rPr>
          <w:u w:val="single"/>
        </w:rPr>
        <w:t>are</w:t>
      </w:r>
      <w:r>
        <w:rPr/>
        <w:t xml:space="preserve"> meant to be liquidated?  This should have been clearly identified, so as to avoid any confusion. </w:t>
      </w:r>
    </w:p>
    <w:p>
      <w:pPr>
        <w:pStyle w:val="Normal"/>
        <w:rPr>
          <w:lang w:eastAsia="en-US"/>
        </w:rPr>
      </w:pPr>
      <w:r>
        <w:rPr>
          <w:lang w:eastAsia="en-US"/>
        </w:rPr>
      </w:r>
    </w:p>
    <w:p>
      <w:pPr>
        <w:pStyle w:val="Normal"/>
        <w:rPr/>
      </w:pPr>
      <w:r>
        <w:rPr/>
        <w:t>24)</w:t>
        <w:tab/>
        <w:t>Section 8.1: In line 4 of the first paragraph of Section 8.1, it is not clear what is meant by the statement "Section 8.1(b) shall apply exclusively". Sections 8.1(b), (c) and (d) can all be marked on the Cover Sheet as either applicable or not applicable, and in each case, one of those two boxes should be checked; that decision should govern, not this cryptic statement in line 4 of Section 8.1.   The default rule should be that if the box is not checked, it does not apply.</w:t>
      </w:r>
    </w:p>
    <w:p>
      <w:pPr>
        <w:pStyle w:val="Normal"/>
        <w:rPr/>
      </w:pPr>
      <w:r>
        <w:rPr/>
      </w:r>
    </w:p>
    <w:p>
      <w:pPr>
        <w:pStyle w:val="Normal"/>
        <w:rPr/>
      </w:pPr>
      <w:r>
        <w:rPr/>
        <w:t>25)</w:t>
        <w:tab/>
        <w:t>Section 8.1(c):  We have previously noted how difficult and arbitrary the calculation of the Termination Payment in a default situation will be. This section compounds matters; it allows Party A to attempt to calculate a hypothetical Termination Payment every day, and depending upon the results of these calculations, Party A can demand Performance Assurance from Party B. Note that, in line 12, Party A is not explicitly required to comply with Party B's "request".  Further, what is the “Independent Amount” supposed to signify?</w:t>
      </w:r>
    </w:p>
    <w:p>
      <w:pPr>
        <w:pStyle w:val="Normal"/>
        <w:rPr/>
      </w:pPr>
      <w:r>
        <w:rPr/>
      </w:r>
    </w:p>
    <w:p>
      <w:pPr>
        <w:pStyle w:val="Normal"/>
        <w:rPr/>
      </w:pPr>
      <w:r>
        <w:rPr/>
        <w:t>26)</w:t>
        <w:tab/>
        <w:t>Section 8.2: Section 8.2 appears to be essentially identical to Section 8.1 but the few minor wording differences should be cleaned up.</w:t>
      </w:r>
    </w:p>
    <w:p>
      <w:pPr>
        <w:pStyle w:val="Normal"/>
        <w:rPr/>
      </w:pPr>
      <w:r>
        <w:rPr/>
      </w:r>
    </w:p>
    <w:p>
      <w:pPr>
        <w:pStyle w:val="Normal"/>
        <w:rPr/>
      </w:pPr>
      <w:r>
        <w:rPr/>
        <w:t>27)</w:t>
        <w:tab/>
        <w:t xml:space="preserve">Section 8.3: To improve this section, we suggest amending the first sentence to read: </w:t>
      </w:r>
    </w:p>
    <w:p>
      <w:pPr>
        <w:pStyle w:val="Normal"/>
        <w:rPr/>
      </w:pPr>
      <w:r>
        <w:rPr/>
      </w:r>
    </w:p>
    <w:p>
      <w:pPr>
        <w:pStyle w:val="BlockText"/>
        <w:rPr/>
      </w:pPr>
      <w:r>
        <w:rPr/>
        <w:t>To secure its obligations under this Agreement and to the extent either or both Parties deliver Performance Assurance hereunder, each Party (a “Pledgor”) hereby grants to the other Party (the “Secured Party”) a present and continuing security interest in and lien on all Performance Assurance delivered by the Pledgor to the Secured Party hereunder and held by the Secured Party and in all proceeds of such Performance Assurance, and Pledgor agrees to take such actions as the Secured Party reasonably requires in order to perfect the Secured Party’s security interest in and lien on such Performance Assurance and its proceeds.</w:t>
      </w:r>
    </w:p>
    <w:p>
      <w:pPr>
        <w:pStyle w:val="Normal"/>
        <w:rPr/>
      </w:pPr>
      <w:r>
        <w:rPr/>
      </w:r>
    </w:p>
    <w:p>
      <w:pPr>
        <w:pStyle w:val="Normal"/>
        <w:rPr/>
      </w:pPr>
      <w:r>
        <w:rPr/>
        <w:t>28)</w:t>
        <w:tab/>
        <w:t xml:space="preserve">Section 9.1: The term "taxes" is not defined, but probably should be. </w:t>
      </w:r>
    </w:p>
    <w:p>
      <w:pPr>
        <w:pStyle w:val="Normal"/>
        <w:rPr/>
      </w:pPr>
      <w:r>
        <w:rPr/>
      </w:r>
    </w:p>
    <w:p>
      <w:pPr>
        <w:pStyle w:val="Normal"/>
        <w:rPr/>
      </w:pPr>
      <w:r>
        <w:rPr/>
        <w:t>29)</w:t>
        <w:tab/>
        <w:t xml:space="preserve">Section 10.3: We suggest the formulation "arising prior to the Product’s arrival at the Delivery Point" rather than merely “prior to the Delivery Point.” </w:t>
      </w:r>
    </w:p>
    <w:p>
      <w:pPr>
        <w:pStyle w:val="Normal"/>
        <w:rPr/>
      </w:pPr>
      <w:r>
        <w:rPr/>
      </w:r>
    </w:p>
    <w:p>
      <w:pPr>
        <w:pStyle w:val="Normal"/>
        <w:rPr/>
      </w:pPr>
      <w:r>
        <w:rPr/>
        <w:t>30)</w:t>
        <w:tab/>
        <w:t xml:space="preserve">Section 10.4: The first sentence will be extremely difficult to administer or enforce, and it is not even clear that it is appropriate (i.e., tying the indemnification obligation to the time of occurrence of an event may not be appropriate). In the last line of the section, insert "indemnifying" between "such" and "Party". </w:t>
      </w:r>
    </w:p>
    <w:p>
      <w:pPr>
        <w:pStyle w:val="Normal"/>
        <w:rPr/>
      </w:pPr>
      <w:r>
        <w:rPr/>
      </w:r>
    </w:p>
    <w:p>
      <w:pPr>
        <w:pStyle w:val="Normal"/>
        <w:rPr/>
      </w:pPr>
      <w:r>
        <w:rPr/>
        <w:t>31)</w:t>
        <w:tab/>
        <w:t xml:space="preserve">Section 10.5: This provision could hamper corporate restructuring or acquisition/divestiture activities. In line 9, insert "of such Party" between "assets" and "whose". The concept of "tax and enforceability assurance" in lines 11-12 is not explained. </w:t>
      </w:r>
    </w:p>
    <w:p>
      <w:pPr>
        <w:pStyle w:val="Normal"/>
        <w:rPr/>
      </w:pPr>
      <w:r>
        <w:rPr/>
      </w:r>
    </w:p>
    <w:p>
      <w:pPr>
        <w:pStyle w:val="Normal"/>
        <w:rPr/>
      </w:pPr>
      <w:r>
        <w:rPr/>
        <w:t>32)</w:t>
        <w:tab/>
        <w:t xml:space="preserve">Section 10.7: Insert "overnight" before "United" in line 3. </w:t>
      </w:r>
    </w:p>
    <w:p>
      <w:pPr>
        <w:pStyle w:val="Normal"/>
        <w:rPr/>
      </w:pPr>
      <w:r>
        <w:rPr/>
      </w:r>
    </w:p>
    <w:p>
      <w:pPr>
        <w:pStyle w:val="Normal"/>
        <w:rPr/>
      </w:pPr>
      <w:r>
        <w:rPr/>
        <w:t>33)</w:t>
        <w:tab/>
        <w:t xml:space="preserve">Section 10.8: Throughout the document, sometimes the term "Agreement" is used, and other times "Master Agreement" is used; this is somewhat imprecise, because the terms are defined differently in the Cover Sheet.  Add the word “hereof” at the end of the first sentence.  In light of the first sentence, the second sentence should be deleted.  What does the phrase "Except to the extent herein provided for" mean in line 11? </w:t>
      </w:r>
    </w:p>
    <w:p>
      <w:pPr>
        <w:pStyle w:val="Normal"/>
        <w:rPr/>
      </w:pPr>
      <w:r>
        <w:rPr/>
      </w:r>
    </w:p>
    <w:p>
      <w:pPr>
        <w:pStyle w:val="Normal"/>
        <w:rPr/>
      </w:pPr>
      <w:r>
        <w:rPr/>
        <w:t>34)</w:t>
        <w:tab/>
        <w:t xml:space="preserve">Section 10.10:   We believe this is not correct as to contracts with a maturity date of two days or less after the date the contract is entered into.  We do not believe the Parties can negate the effectiveness of 11 U.S.C. § 101(25) by bilateral agreement.  Making such an attempt here may lead to bad collateral effects and create more litigation costs.  </w:t>
      </w:r>
    </w:p>
    <w:p>
      <w:pPr>
        <w:pStyle w:val="Normal"/>
        <w:rPr>
          <w:u w:val="single"/>
        </w:rPr>
      </w:pPr>
      <w:r>
        <w:rPr>
          <w:u w:val="single"/>
        </w:rPr>
      </w:r>
    </w:p>
    <w:p>
      <w:pPr>
        <w:pStyle w:val="Normal"/>
        <w:rPr/>
      </w:pPr>
      <w:r>
        <w:rPr>
          <w:u w:val="single"/>
        </w:rPr>
        <w:t>SCHEDULE M</w:t>
      </w:r>
      <w:r>
        <w:rPr/>
        <w:t xml:space="preserve"> </w:t>
      </w:r>
    </w:p>
    <w:p>
      <w:pPr>
        <w:pStyle w:val="Normal"/>
        <w:rPr/>
      </w:pPr>
      <w:r>
        <w:rPr/>
      </w:r>
    </w:p>
    <w:p>
      <w:pPr>
        <w:pStyle w:val="Normal"/>
        <w:rPr/>
      </w:pPr>
      <w:r>
        <w:rPr/>
        <w:t>35)</w:t>
        <w:tab/>
        <w:t xml:space="preserve">In subpart (i) of item C, "has" should be "have". </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arlett">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EngraversGothic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118745" distB="118745" distL="118745" distR="118745" simplePos="0" locked="0" layoutInCell="0" allowOverlap="1" relativeHeight="7">
              <wp:simplePos x="0" y="0"/>
              <wp:positionH relativeFrom="page">
                <wp:posOffset>330835</wp:posOffset>
              </wp:positionH>
              <wp:positionV relativeFrom="page">
                <wp:posOffset>9584690</wp:posOffset>
              </wp:positionV>
              <wp:extent cx="1118235" cy="280035"/>
              <wp:effectExtent l="0" t="0" r="0" b="0"/>
              <wp:wrapSquare wrapText="bothSides"/>
              <wp:docPr id="1" name="Frame2"/>
              <a:graphic xmlns:a="http://schemas.openxmlformats.org/drawingml/2006/main">
                <a:graphicData uri="http://schemas.microsoft.com/office/word/2010/wordprocessingShape">
                  <wps:wsp>
                    <wps:cNvSpPr txBox="1"/>
                    <wps:spPr>
                      <a:xfrm>
                        <a:off x="0" y="0"/>
                        <a:ext cx="1118235" cy="280035"/>
                      </a:xfrm>
                      <a:prstGeom prst="rect"/>
                      <a:solidFill>
                        <a:srgbClr val="FFFFFF">
                          <a:alpha val="0"/>
                        </a:srgbClr>
                      </a:solidFill>
                    </wps:spPr>
                    <wps:txbx>
                      <w:txbxContent>
                        <w:p>
                          <w:pPr>
                            <w:pStyle w:val="Normal"/>
                            <w:rPr>
                              <w:rFonts w:ascii="Arial" w:hAnsi="Arial" w:cs="Arial"/>
                              <w:sz w:val="16"/>
                              <w:lang w:val="en-CA"/>
                            </w:rPr>
                          </w:pP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001.1056399</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001.1056399</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001.1056399</w:t>
                          </w:r>
                          <w:r>
                            <w:rPr>
                              <w:sz w:val="16"/>
                              <w:rFonts w:cs="Arial" w:ascii="Arial" w:hAnsi="Arial"/>
                              <w:lang w:val="en-CA"/>
                            </w:rPr>
                            <w:fldChar w:fldCharType="end"/>
                          </w:r>
                        </w:p>
                      </w:txbxContent>
                    </wps:txbx>
                    <wps:bodyPr anchor="t" lIns="0" tIns="0" rIns="0" bIns="0">
                      <a:noAutofit/>
                    </wps:bodyPr>
                  </wps:wsp>
                </a:graphicData>
              </a:graphic>
            </wp:anchor>
          </w:drawing>
        </mc:Choice>
        <mc:Fallback>
          <w:pict>
            <v:rect fillcolor="#FFFFFF" style="position:absolute;rotation:-0;width:88.05pt;height:22.05pt;mso-wrap-distance-left:9.35pt;mso-wrap-distance-right:9.35pt;mso-wrap-distance-top:9.35pt;mso-wrap-distance-bottom:9.35pt;margin-top:754.7pt;mso-position-vertical-relative:page;margin-left:26.05pt;mso-position-horizontal-relative:page">
              <v:fill opacity="0f"/>
              <v:textbox inset="0in,0in,0in,0in">
                <w:txbxContent>
                  <w:p>
                    <w:pPr>
                      <w:pStyle w:val="Normal"/>
                      <w:rPr>
                        <w:rFonts w:ascii="Arial" w:hAnsi="Arial" w:cs="Arial"/>
                        <w:sz w:val="16"/>
                        <w:lang w:val="en-CA"/>
                      </w:rPr>
                    </w:pP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001.1056399</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001.1056399</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001.1056399</w:t>
                    </w:r>
                    <w:r>
                      <w:rPr>
                        <w:sz w:val="16"/>
                        <w:rFonts w:cs="Arial" w:ascii="Arial" w:hAnsi="Arial"/>
                        <w:lang w:val="en-CA"/>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DocID"/>
        <w:rFonts w:ascii="Times New Roman" w:hAnsi="Times New Roman" w:cs="Times New Roman"/>
        <w:sz w:val="24"/>
      </w:rPr>
    </w:pPr>
    <w:r>
      <w:rPr/>
    </w:r>
    <w:r>
      <mc:AlternateContent>
        <mc:Choice Requires="wps">
          <w:drawing>
            <wp:anchor behindDoc="0" distT="118745" distB="118745" distL="118745" distR="118745" simplePos="0" locked="0" layoutInCell="0" allowOverlap="1" relativeHeight="2">
              <wp:simplePos x="0" y="0"/>
              <wp:positionH relativeFrom="page">
                <wp:posOffset>330835</wp:posOffset>
              </wp:positionH>
              <wp:positionV relativeFrom="page">
                <wp:posOffset>9584690</wp:posOffset>
              </wp:positionV>
              <wp:extent cx="1118235" cy="280035"/>
              <wp:effectExtent l="0" t="0" r="0" b="0"/>
              <wp:wrapSquare wrapText="bothSides"/>
              <wp:docPr id="2" name="Frame1"/>
              <a:graphic xmlns:a="http://schemas.openxmlformats.org/drawingml/2006/main">
                <a:graphicData uri="http://schemas.microsoft.com/office/word/2010/wordprocessingShape">
                  <wps:wsp>
                    <wps:cNvSpPr txBox="1"/>
                    <wps:spPr>
                      <a:xfrm>
                        <a:off x="0" y="0"/>
                        <a:ext cx="1118235" cy="280035"/>
                      </a:xfrm>
                      <a:prstGeom prst="rect"/>
                      <a:solidFill>
                        <a:srgbClr val="FFFFFF">
                          <a:alpha val="0"/>
                        </a:srgbClr>
                      </a:solidFill>
                    </wps:spPr>
                    <wps:txbx>
                      <w:txbxContent>
                        <w:p>
                          <w:pPr>
                            <w:pStyle w:val="Normal"/>
                            <w:rPr>
                              <w:rFonts w:ascii="Arial" w:hAnsi="Arial" w:cs="Arial"/>
                              <w:sz w:val="16"/>
                              <w:lang w:val="en-CA"/>
                            </w:rPr>
                          </w:pP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001.1056399</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001.1056399</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001.1056399</w:t>
                          </w:r>
                          <w:r>
                            <w:rPr>
                              <w:sz w:val="16"/>
                              <w:rFonts w:cs="Arial" w:ascii="Arial" w:hAnsi="Arial"/>
                              <w:lang w:val="en-CA"/>
                            </w:rPr>
                            <w:fldChar w:fldCharType="end"/>
                          </w:r>
                        </w:p>
                      </w:txbxContent>
                    </wps:txbx>
                    <wps:bodyPr anchor="t" lIns="0" tIns="0" rIns="0" bIns="0">
                      <a:noAutofit/>
                    </wps:bodyPr>
                  </wps:wsp>
                </a:graphicData>
              </a:graphic>
            </wp:anchor>
          </w:drawing>
        </mc:Choice>
        <mc:Fallback>
          <w:pict>
            <v:rect fillcolor="#FFFFFF" style="position:absolute;rotation:-0;width:88.05pt;height:22.05pt;mso-wrap-distance-left:9.35pt;mso-wrap-distance-right:9.35pt;mso-wrap-distance-top:9.35pt;mso-wrap-distance-bottom:9.35pt;margin-top:754.7pt;mso-position-vertical-relative:page;margin-left:26.05pt;mso-position-horizontal-relative:page">
              <v:fill opacity="0f"/>
              <v:textbox inset="0in,0in,0in,0in">
                <w:txbxContent>
                  <w:p>
                    <w:pPr>
                      <w:pStyle w:val="Normal"/>
                      <w:rPr>
                        <w:rFonts w:ascii="Arial" w:hAnsi="Arial" w:cs="Arial"/>
                        <w:sz w:val="16"/>
                        <w:lang w:val="en-CA"/>
                      </w:rPr>
                    </w:pP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001.1056399</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001.1056399</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001.1056399</w:t>
                    </w:r>
                    <w:r>
                      <w:rPr>
                        <w:sz w:val="16"/>
                        <w:rFonts w:cs="Arial" w:ascii="Arial" w:hAnsi="Arial"/>
                        <w:lang w:val="en-CA"/>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94" w:type="dxa"/>
      <w:jc w:val="start"/>
      <w:tblInd w:w="-518" w:type="dxa"/>
      <w:tblLayout w:type="fixed"/>
      <w:tblCellMar>
        <w:top w:w="0" w:type="dxa"/>
        <w:start w:w="108" w:type="dxa"/>
        <w:bottom w:w="0" w:type="dxa"/>
        <w:end w:w="108" w:type="dxa"/>
      </w:tblCellMar>
    </w:tblPr>
    <w:tblGrid>
      <w:gridCol w:w="2520"/>
      <w:gridCol w:w="7474"/>
    </w:tblGrid>
    <w:tr>
      <w:trPr>
        <w:trHeight w:val="487" w:hRule="atLeast"/>
      </w:trPr>
      <w:tc>
        <w:tcPr>
          <w:tcW w:w="2520" w:type="dxa"/>
          <w:tcBorders/>
        </w:tcPr>
        <w:p>
          <w:pPr>
            <w:pStyle w:val="Header"/>
            <w:rPr>
              <w:rFonts w:ascii="EngraversGothic BT" w:hAnsi="EngraversGothic BT" w:cs="EngraversGothic BT"/>
              <w:sz w:val="28"/>
            </w:rPr>
          </w:pPr>
          <w:r>
            <w:rPr>
              <w:rFonts w:cs="EngraversGothic BT" w:ascii="EngraversGothic BT" w:hAnsi="EngraversGothic BT"/>
              <w:sz w:val="28"/>
            </w:rPr>
            <w:t>Foley &amp; Lardner</w:t>
          </w:r>
        </w:p>
      </w:tc>
      <w:tc>
        <w:tcPr>
          <w:tcW w:w="7474" w:type="dxa"/>
          <w:tcBorders/>
        </w:tcPr>
        <w:p>
          <w:pPr>
            <w:pStyle w:val="Header"/>
            <w:snapToGrid w:val="false"/>
            <w:jc w:val="end"/>
            <w:rPr/>
          </w:pPr>
          <w:r>
            <w:rPr/>
          </w:r>
        </w:p>
      </w:tc>
    </w:tr>
  </w:tbl>
  <w:p>
    <w:pPr>
      <w:pStyle w:val="Header"/>
      <w:tabs>
        <w:tab w:val="left" w:pos="2763" w:leader="none"/>
        <w:tab w:val="center" w:pos="4680" w:leader="none"/>
        <w:tab w:val="right" w:pos="9360" w:leader="none"/>
      </w:tabs>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u w:val="none"/>
      </w:rPr>
    </w:lvl>
    <w:lvl w:ilvl="1">
      <w:start w:val="1"/>
      <w:pStyle w:val="Heading2"/>
      <w:numFmt w:val="lowerLetter"/>
      <w:lvlText w:val="%2."/>
      <w:lvlJc w:val="start"/>
      <w:pPr>
        <w:tabs>
          <w:tab w:val="num" w:pos="1800"/>
        </w:tabs>
        <w:ind w:start="720" w:firstLine="720"/>
      </w:pPr>
      <w:rPr>
        <w:u w:val="none"/>
      </w:rPr>
    </w:lvl>
    <w:lvl w:ilvl="2">
      <w:start w:val="1"/>
      <w:pStyle w:val="Heading3"/>
      <w:numFmt w:val="lowerRoman"/>
      <w:lvlText w:val="%3."/>
      <w:lvlJc w:val="start"/>
      <w:pPr>
        <w:tabs>
          <w:tab w:val="num" w:pos="2880"/>
        </w:tabs>
        <w:ind w:start="1440" w:firstLine="720"/>
      </w:pPr>
      <w:rPr>
        <w:u w:val="none"/>
      </w:rPr>
    </w:lvl>
    <w:lvl w:ilvl="3">
      <w:start w:val="1"/>
      <w:pStyle w:val="Heading4"/>
      <w:numFmt w:val="decimal"/>
      <w:lvlText w:val="(%4)"/>
      <w:lvlJc w:val="start"/>
      <w:pPr>
        <w:tabs>
          <w:tab w:val="num" w:pos="3240"/>
        </w:tabs>
        <w:ind w:start="2160" w:firstLine="720"/>
      </w:pPr>
      <w:rPr>
        <w:u w:val="none"/>
      </w:rPr>
    </w:lvl>
    <w:lvl w:ilvl="4">
      <w:start w:val="1"/>
      <w:pStyle w:val="Heading5"/>
      <w:numFmt w:val="lowerLetter"/>
      <w:lvlText w:val="(%5)"/>
      <w:lvlJc w:val="start"/>
      <w:pPr>
        <w:tabs>
          <w:tab w:val="num" w:pos="3960"/>
        </w:tabs>
        <w:ind w:start="2880" w:firstLine="720"/>
      </w:pPr>
      <w:rPr>
        <w:u w:val="none"/>
      </w:rPr>
    </w:lvl>
    <w:lvl w:ilvl="5">
      <w:start w:val="1"/>
      <w:pStyle w:val="Heading6"/>
      <w:numFmt w:val="lowerRoman"/>
      <w:lvlText w:val="(%6)"/>
      <w:lvlJc w:val="start"/>
      <w:pPr>
        <w:tabs>
          <w:tab w:val="num" w:pos="5040"/>
        </w:tabs>
        <w:ind w:start="3600" w:firstLine="720"/>
      </w:pPr>
      <w:rPr>
        <w:u w:val="none"/>
      </w:rPr>
    </w:lvl>
    <w:lvl w:ilvl="6">
      <w:start w:val="1"/>
      <w:pStyle w:val="Heading7"/>
      <w:numFmt w:val="decimal"/>
      <w:lvlText w:val="%7)"/>
      <w:lvlJc w:val="start"/>
      <w:pPr>
        <w:tabs>
          <w:tab w:val="num" w:pos="5400"/>
        </w:tabs>
        <w:ind w:start="4320" w:firstLine="720"/>
      </w:pPr>
      <w:rPr>
        <w:u w:val="none"/>
      </w:rPr>
    </w:lvl>
    <w:lvl w:ilvl="7">
      <w:start w:val="1"/>
      <w:pStyle w:val="Heading8"/>
      <w:numFmt w:val="lowerLetter"/>
      <w:lvlText w:val="%8)"/>
      <w:lvlJc w:val="start"/>
      <w:pPr>
        <w:tabs>
          <w:tab w:val="num" w:pos="6120"/>
        </w:tabs>
        <w:ind w:start="5040" w:firstLine="720"/>
      </w:pPr>
      <w:rPr>
        <w:u w:val="none"/>
      </w:rPr>
    </w:lvl>
    <w:lvl w:ilvl="8">
      <w:start w:val="1"/>
      <w:pStyle w:val="Heading9"/>
      <w:numFmt w:val="upperLetter"/>
      <w:suff w:val="nothing"/>
      <w:lvlText w:val="Exhibit %9"/>
      <w:lvlJc w:val="start"/>
      <w:pPr>
        <w:tabs>
          <w:tab w:val="num" w:pos="0"/>
        </w:tabs>
        <w:ind w:start="0" w:hanging="0"/>
      </w:pPr>
      <w:rPr>
        <w:u w:val="none"/>
      </w:rPr>
    </w:lvl>
  </w:abstractNum>
  <w:abstractNum w:abstractNumId="2">
    <w:lvl w:ilvl="0">
      <w:start w:val="1"/>
      <w:numFmt w:val="decimal"/>
      <w:lvlText w:val="%1."/>
      <w:lvlJc w:val="start"/>
      <w:pPr>
        <w:tabs>
          <w:tab w:val="num" w:pos="1800"/>
        </w:tabs>
        <w:ind w:start="0" w:firstLine="1440"/>
      </w:pPr>
      <w:rPr>
        <w:u w:val="none"/>
      </w:rPr>
    </w:lvl>
  </w:abstractNum>
  <w:abstractNum w:abstractNumId="3">
    <w:lvl w:ilvl="0">
      <w:start w:val="1"/>
      <w:numFmt w:val="decimal"/>
      <w:lvlText w:val="%1."/>
      <w:lvlJc w:val="start"/>
      <w:pPr>
        <w:tabs>
          <w:tab w:val="num" w:pos="1080"/>
        </w:tabs>
        <w:ind w:start="0" w:firstLine="720"/>
      </w:pPr>
      <w:rPr>
        <w:u w:val="none"/>
      </w:rPr>
    </w:lvl>
  </w:abstractNum>
  <w:abstractNum w:abstractNumId="4">
    <w:lvl w:ilvl="0">
      <w:start w:val="1"/>
      <w:numFmt w:val="decimal"/>
      <w:lvlText w:val="%1."/>
      <w:lvlJc w:val="start"/>
      <w:pPr>
        <w:tabs>
          <w:tab w:val="num" w:pos="2160"/>
        </w:tabs>
        <w:ind w:start="2160" w:hanging="720"/>
      </w:pPr>
      <w:rPr>
        <w:u w:val="none"/>
      </w:rPr>
    </w:lvl>
  </w:abstractNum>
  <w:abstractNum w:abstractNumId="5">
    <w:lvl w:ilvl="0">
      <w:start w:val="1"/>
      <w:numFmt w:val="decimal"/>
      <w:lvlText w:val="%1."/>
      <w:lvlJc w:val="start"/>
      <w:pPr>
        <w:tabs>
          <w:tab w:val="num" w:pos="1440"/>
        </w:tabs>
        <w:ind w:start="1440" w:hanging="720"/>
      </w:pPr>
      <w:rPr>
        <w:u w:val="none"/>
      </w:rPr>
    </w:lvl>
  </w:abstractNum>
  <w:abstractNum w:abstractNumId="6">
    <w:lvl w:ilvl="0">
      <w:start w:val="1"/>
      <w:numFmt w:val="bullet"/>
      <w:lvlText w:val=""/>
      <w:lvlJc w:val="start"/>
      <w:pPr>
        <w:tabs>
          <w:tab w:val="num" w:pos="3600"/>
        </w:tabs>
        <w:ind w:start="3600" w:hanging="720"/>
      </w:pPr>
      <w:rPr>
        <w:rFonts w:ascii="Marlett" w:hAnsi="Marlett" w:cs="Marlett" w:hint="default"/>
        <w:sz w:val="22"/>
        <w:color w:val="auto"/>
      </w:rPr>
    </w:lvl>
  </w:abstractNum>
  <w:abstractNum w:abstractNumId="7">
    <w:lvl w:ilvl="0">
      <w:start w:val="1"/>
      <w:numFmt w:val="bullet"/>
      <w:lvlText w:val=""/>
      <w:lvlJc w:val="start"/>
      <w:pPr>
        <w:tabs>
          <w:tab w:val="num" w:pos="2880"/>
        </w:tabs>
        <w:ind w:start="2880" w:hanging="720"/>
      </w:pPr>
      <w:rPr>
        <w:rFonts w:ascii="Marlett" w:hAnsi="Marlett" w:cs="Marlett" w:hint="default"/>
        <w:sz w:val="22"/>
        <w:color w:val="auto"/>
      </w:rPr>
    </w:lvl>
  </w:abstractNum>
  <w:abstractNum w:abstractNumId="8">
    <w:lvl w:ilvl="0">
      <w:start w:val="1"/>
      <w:numFmt w:val="bullet"/>
      <w:lvlText w:val=""/>
      <w:lvlJc w:val="start"/>
      <w:pPr>
        <w:tabs>
          <w:tab w:val="num" w:pos="2160"/>
        </w:tabs>
        <w:ind w:start="2160" w:hanging="720"/>
      </w:pPr>
      <w:rPr>
        <w:rFonts w:ascii="Marlett" w:hAnsi="Marlett" w:cs="Marlett" w:hint="default"/>
        <w:sz w:val="22"/>
        <w:color w:val="auto"/>
      </w:rPr>
    </w:lvl>
  </w:abstractNum>
  <w:abstractNum w:abstractNumId="9">
    <w:lvl w:ilvl="0">
      <w:start w:val="1"/>
      <w:numFmt w:val="bullet"/>
      <w:lvlText w:val=""/>
      <w:lvlJc w:val="start"/>
      <w:pPr>
        <w:tabs>
          <w:tab w:val="num" w:pos="1440"/>
        </w:tabs>
        <w:ind w:start="1440" w:hanging="720"/>
      </w:pPr>
      <w:rPr>
        <w:rFonts w:ascii="Marlett" w:hAnsi="Marlett" w:cs="Marlett" w:hint="default"/>
        <w:sz w:val="22"/>
        <w:color w:val="auto"/>
      </w:rPr>
    </w:lvl>
  </w:abstractNum>
  <w:abstractNum w:abstractNumId="10">
    <w:lvl w:ilvl="0">
      <w:start w:val="1"/>
      <w:numFmt w:val="decimal"/>
      <w:lvlText w:val="%1."/>
      <w:lvlJc w:val="start"/>
      <w:pPr>
        <w:tabs>
          <w:tab w:val="num" w:pos="720"/>
        </w:tabs>
        <w:ind w:start="720" w:hanging="720"/>
      </w:pPr>
      <w:rPr>
        <w:u w:val="none"/>
      </w:rPr>
    </w:lvl>
  </w:abstractNum>
  <w:abstractNum w:abstractNumId="11">
    <w:lvl w:ilvl="0">
      <w:start w:val="1"/>
      <w:numFmt w:val="bullet"/>
      <w:lvlText w:val=""/>
      <w:lvlJc w:val="start"/>
      <w:pPr>
        <w:tabs>
          <w:tab w:val="num" w:pos="720"/>
        </w:tabs>
        <w:ind w:start="720" w:hanging="720"/>
      </w:pPr>
      <w:rPr>
        <w:rFonts w:ascii="Marlett" w:hAnsi="Marlett" w:cs="Marlett" w:hint="default"/>
        <w:sz w:val="22"/>
        <w:color w:val="auto"/>
      </w:rPr>
    </w:lvl>
  </w:abstractNum>
  <w:abstractNum w:abstractNumId="12">
    <w:lvl w:ilvl="0">
      <w:start w:val="1"/>
      <w:numFmt w:val="decimal"/>
      <w:lvlText w:val="%1."/>
      <w:lvlJc w:val="start"/>
      <w:pPr>
        <w:tabs>
          <w:tab w:val="num" w:pos="1080"/>
        </w:tabs>
        <w:ind w:start="0" w:firstLine="720"/>
      </w:pPr>
      <w:rPr>
        <w:u w:val="none"/>
      </w:rPr>
    </w:lvl>
    <w:lvl w:ilvl="1">
      <w:start w:val="1"/>
      <w:numFmt w:val="lowerLetter"/>
      <w:lvlText w:val="%2."/>
      <w:lvlJc w:val="start"/>
      <w:pPr>
        <w:tabs>
          <w:tab w:val="num" w:pos="1800"/>
        </w:tabs>
        <w:ind w:start="720" w:firstLine="720"/>
      </w:pPr>
      <w:rPr>
        <w:u w:val="none"/>
      </w:rPr>
    </w:lvl>
    <w:lvl w:ilvl="2">
      <w:start w:val="1"/>
      <w:numFmt w:val="lowerRoman"/>
      <w:lvlText w:val="%3."/>
      <w:lvlJc w:val="start"/>
      <w:pPr>
        <w:tabs>
          <w:tab w:val="num" w:pos="2880"/>
        </w:tabs>
        <w:ind w:start="1440" w:firstLine="720"/>
      </w:pPr>
      <w:rPr>
        <w:u w:val="none"/>
      </w:rPr>
    </w:lvl>
    <w:lvl w:ilvl="3">
      <w:start w:val="1"/>
      <w:numFmt w:val="decimal"/>
      <w:lvlText w:val="(%4)"/>
      <w:lvlJc w:val="start"/>
      <w:pPr>
        <w:tabs>
          <w:tab w:val="num" w:pos="3240"/>
        </w:tabs>
        <w:ind w:start="2160" w:firstLine="720"/>
      </w:pPr>
      <w:rPr>
        <w:u w:val="none"/>
      </w:rPr>
    </w:lvl>
    <w:lvl w:ilvl="4">
      <w:start w:val="1"/>
      <w:numFmt w:val="lowerLetter"/>
      <w:lvlText w:val="(%5)"/>
      <w:lvlJc w:val="start"/>
      <w:pPr>
        <w:tabs>
          <w:tab w:val="num" w:pos="3960"/>
        </w:tabs>
        <w:ind w:start="2880" w:firstLine="720"/>
      </w:pPr>
      <w:rPr>
        <w:u w:val="none"/>
      </w:rPr>
    </w:lvl>
    <w:lvl w:ilvl="5">
      <w:start w:val="1"/>
      <w:numFmt w:val="lowerRoman"/>
      <w:lvlText w:val="(%6)"/>
      <w:lvlJc w:val="start"/>
      <w:pPr>
        <w:tabs>
          <w:tab w:val="num" w:pos="5040"/>
        </w:tabs>
        <w:ind w:start="3600" w:firstLine="720"/>
      </w:pPr>
      <w:rPr>
        <w:u w:val="none"/>
      </w:rPr>
    </w:lvl>
    <w:lvl w:ilvl="6">
      <w:start w:val="1"/>
      <w:numFmt w:val="decimal"/>
      <w:lvlText w:val="%7)"/>
      <w:lvlJc w:val="start"/>
      <w:pPr>
        <w:tabs>
          <w:tab w:val="num" w:pos="5400"/>
        </w:tabs>
        <w:ind w:start="4320" w:firstLine="720"/>
      </w:pPr>
      <w:rPr>
        <w:u w:val="none"/>
      </w:rPr>
    </w:lvl>
    <w:lvl w:ilvl="7">
      <w:start w:val="1"/>
      <w:numFmt w:val="lowerLetter"/>
      <w:lvlText w:val="%8)"/>
      <w:lvlJc w:val="start"/>
      <w:pPr>
        <w:tabs>
          <w:tab w:val="num" w:pos="6120"/>
        </w:tabs>
        <w:ind w:start="5040" w:firstLine="720"/>
      </w:pPr>
      <w:rPr>
        <w:u w:val="none"/>
      </w:rPr>
    </w:lvl>
    <w:lvl w:ilvl="8">
      <w:start w:val="1"/>
      <w:numFmt w:val="lowerRoman"/>
      <w:lvlText w:val="%9)"/>
      <w:lvlJc w:val="start"/>
      <w:pPr>
        <w:tabs>
          <w:tab w:val="num" w:pos="7200"/>
        </w:tabs>
        <w:ind w:start="5760" w:firstLine="720"/>
      </w:pPr>
      <w:rPr>
        <w:u w:val="none"/>
      </w:rPr>
    </w:lvl>
  </w:abstractNum>
  <w:abstractNum w:abstractNumId="13">
    <w:lvl w:ilvl="0">
      <w:start w:val="1"/>
      <w:numFmt w:val="upperLetter"/>
      <w:lvlText w:val="%1."/>
      <w:lvlJc w:val="start"/>
      <w:pPr>
        <w:tabs>
          <w:tab w:val="num" w:pos="1800"/>
        </w:tabs>
        <w:ind w:start="0" w:firstLine="144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AUTHOR" w:val="ecnelson"/>
    <w:docVar w:name="DOCNAME" w:val="Memorandum to Michael Davis"/>
    <w:docVar w:name="DOCTYPE" w:val="MEMO"/>
    <w:docVar w:name="iCAuthor" w:val="ecnelson"/>
    <w:docVar w:name="iCClient" w:val="086120"/>
    <w:docVar w:name="iCDepartment" w:val="BUS"/>
    <w:docVar w:name="iCDocType" w:val="MEMO"/>
    <w:docVar w:name="iCMatter" w:val="0369"/>
    <w:docVar w:name="TYPIST" w:val="bjacoby"/>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numPr>
        <w:ilvl w:val="0"/>
        <w:numId w:val="1"/>
      </w:numPr>
      <w:tabs>
        <w:tab w:val="clear" w:pos="720"/>
      </w:tabs>
      <w:spacing w:before="0" w:after="240"/>
      <w:outlineLvl w:val="0"/>
    </w:pPr>
    <w:rPr/>
  </w:style>
  <w:style w:type="paragraph" w:styleId="Heading2">
    <w:name w:val="heading 2"/>
    <w:basedOn w:val="Normal"/>
    <w:next w:val="BodyText"/>
    <w:qFormat/>
    <w:pPr>
      <w:numPr>
        <w:ilvl w:val="1"/>
        <w:numId w:val="1"/>
      </w:numPr>
      <w:tabs>
        <w:tab w:val="clear" w:pos="720"/>
      </w:tabs>
      <w:spacing w:before="0" w:after="240"/>
      <w:outlineLvl w:val="1"/>
    </w:pPr>
    <w:rPr/>
  </w:style>
  <w:style w:type="paragraph" w:styleId="Heading3">
    <w:name w:val="heading 3"/>
    <w:basedOn w:val="Normal"/>
    <w:next w:val="BodyText"/>
    <w:qFormat/>
    <w:pPr>
      <w:numPr>
        <w:ilvl w:val="2"/>
        <w:numId w:val="1"/>
      </w:numPr>
      <w:tabs>
        <w:tab w:val="clear" w:pos="720"/>
      </w:tabs>
      <w:spacing w:before="0" w:after="240"/>
      <w:outlineLvl w:val="2"/>
    </w:pPr>
    <w:rPr/>
  </w:style>
  <w:style w:type="paragraph" w:styleId="Heading4">
    <w:name w:val="heading 4"/>
    <w:basedOn w:val="Normal"/>
    <w:next w:val="BodyText"/>
    <w:qFormat/>
    <w:pPr>
      <w:numPr>
        <w:ilvl w:val="3"/>
        <w:numId w:val="1"/>
      </w:numPr>
      <w:tabs>
        <w:tab w:val="clear" w:pos="720"/>
      </w:tabs>
      <w:spacing w:before="0" w:after="240"/>
      <w:outlineLvl w:val="3"/>
    </w:pPr>
    <w:rPr/>
  </w:style>
  <w:style w:type="paragraph" w:styleId="Heading5">
    <w:name w:val="heading 5"/>
    <w:basedOn w:val="Normal"/>
    <w:next w:val="BodyText"/>
    <w:qFormat/>
    <w:pPr>
      <w:numPr>
        <w:ilvl w:val="4"/>
        <w:numId w:val="1"/>
      </w:numPr>
      <w:tabs>
        <w:tab w:val="clear" w:pos="720"/>
      </w:tabs>
      <w:spacing w:before="0" w:after="240"/>
      <w:outlineLvl w:val="4"/>
    </w:pPr>
    <w:rPr/>
  </w:style>
  <w:style w:type="paragraph" w:styleId="Heading6">
    <w:name w:val="heading 6"/>
    <w:basedOn w:val="Normal"/>
    <w:next w:val="BodyText"/>
    <w:qFormat/>
    <w:pPr>
      <w:numPr>
        <w:ilvl w:val="5"/>
        <w:numId w:val="1"/>
      </w:numPr>
      <w:tabs>
        <w:tab w:val="clear" w:pos="720"/>
      </w:tabs>
      <w:spacing w:before="0" w:after="240"/>
      <w:outlineLvl w:val="5"/>
    </w:pPr>
    <w:rPr/>
  </w:style>
  <w:style w:type="paragraph" w:styleId="Heading7">
    <w:name w:val="heading 7"/>
    <w:basedOn w:val="Normal"/>
    <w:next w:val="BodyText"/>
    <w:qFormat/>
    <w:pPr>
      <w:numPr>
        <w:ilvl w:val="6"/>
        <w:numId w:val="1"/>
      </w:numPr>
      <w:tabs>
        <w:tab w:val="clear" w:pos="720"/>
      </w:tabs>
      <w:spacing w:before="0" w:after="240"/>
      <w:outlineLvl w:val="6"/>
    </w:pPr>
    <w:rPr/>
  </w:style>
  <w:style w:type="paragraph" w:styleId="Heading8">
    <w:name w:val="heading 8"/>
    <w:basedOn w:val="Normal"/>
    <w:next w:val="BodyText"/>
    <w:qFormat/>
    <w:pPr>
      <w:numPr>
        <w:ilvl w:val="7"/>
        <w:numId w:val="1"/>
      </w:numPr>
      <w:tabs>
        <w:tab w:val="clear" w:pos="720"/>
      </w:tabs>
      <w:spacing w:before="0" w:after="240"/>
      <w:outlineLvl w:val="7"/>
    </w:pPr>
    <w:rPr/>
  </w:style>
  <w:style w:type="paragraph" w:styleId="Heading9">
    <w:name w:val="heading 9"/>
    <w:basedOn w:val="Normal"/>
    <w:next w:val="Normal"/>
    <w:qFormat/>
    <w:pPr>
      <w:keepNext w:val="true"/>
      <w:numPr>
        <w:ilvl w:val="8"/>
        <w:numId w:val="1"/>
      </w:numPr>
      <w:spacing w:before="0" w:after="240"/>
      <w:jc w:val="center"/>
      <w:outlineLvl w:val="8"/>
    </w:pPr>
    <w:rPr>
      <w:b/>
      <w:caps/>
    </w:rPr>
  </w:style>
  <w:style w:type="character" w:styleId="WW8Num1z0">
    <w:name w:val="WW8Num1z0"/>
    <w:qFormat/>
    <w:rPr>
      <w:u w:val="none"/>
    </w:rPr>
  </w:style>
  <w:style w:type="character" w:styleId="WW8Num2z0">
    <w:name w:val="WW8Num2z0"/>
    <w:qFormat/>
    <w:rPr>
      <w:u w:val="none"/>
    </w:rPr>
  </w:style>
  <w:style w:type="character" w:styleId="WW8Num3z0">
    <w:name w:val="WW8Num3z0"/>
    <w:qFormat/>
    <w:rPr>
      <w:u w:val="none"/>
    </w:rPr>
  </w:style>
  <w:style w:type="character" w:styleId="WW8Num4z0">
    <w:name w:val="WW8Num4z0"/>
    <w:qFormat/>
    <w:rPr>
      <w:u w:val="none"/>
    </w:rPr>
  </w:style>
  <w:style w:type="character" w:styleId="WW8Num5z0">
    <w:name w:val="WW8Num5z0"/>
    <w:qFormat/>
    <w:rPr>
      <w:rFonts w:ascii="Marlett" w:hAnsi="Marlett" w:cs="Marlett"/>
      <w:color w:val="auto"/>
      <w:sz w:val="22"/>
    </w:rPr>
  </w:style>
  <w:style w:type="character" w:styleId="WW8Num6z0">
    <w:name w:val="WW8Num6z0"/>
    <w:qFormat/>
    <w:rPr>
      <w:rFonts w:ascii="Marlett" w:hAnsi="Marlett" w:cs="Marlett"/>
      <w:color w:val="auto"/>
      <w:sz w:val="22"/>
    </w:rPr>
  </w:style>
  <w:style w:type="character" w:styleId="WW8Num7z0">
    <w:name w:val="WW8Num7z0"/>
    <w:qFormat/>
    <w:rPr>
      <w:rFonts w:ascii="Marlett" w:hAnsi="Marlett" w:cs="Marlett"/>
      <w:color w:val="auto"/>
      <w:sz w:val="22"/>
    </w:rPr>
  </w:style>
  <w:style w:type="character" w:styleId="WW8Num8z0">
    <w:name w:val="WW8Num8z0"/>
    <w:qFormat/>
    <w:rPr>
      <w:rFonts w:ascii="Marlett" w:hAnsi="Marlett" w:cs="Marlett"/>
      <w:color w:val="auto"/>
      <w:sz w:val="22"/>
    </w:rPr>
  </w:style>
  <w:style w:type="character" w:styleId="WW8Num9z0">
    <w:name w:val="WW8Num9z0"/>
    <w:qFormat/>
    <w:rPr>
      <w:u w:val="none"/>
    </w:rPr>
  </w:style>
  <w:style w:type="character" w:styleId="WW8Num10z0">
    <w:name w:val="WW8Num10z0"/>
    <w:qFormat/>
    <w:rPr>
      <w:rFonts w:ascii="Marlett" w:hAnsi="Marlett" w:cs="Marlett"/>
      <w:color w:val="auto"/>
      <w:sz w:val="22"/>
    </w:rPr>
  </w:style>
  <w:style w:type="character" w:styleId="WW8Num11z0">
    <w:name w:val="WW8Num11z0"/>
    <w:qFormat/>
    <w:rPr>
      <w:u w:val="none"/>
    </w:rPr>
  </w:style>
  <w:style w:type="character" w:styleId="WW8Num12z0">
    <w:name w:val="WW8Num12z0"/>
    <w:qFormat/>
    <w:rPr>
      <w:u w:val="none"/>
    </w:rPr>
  </w:style>
  <w:style w:type="character" w:styleId="WW8Num15z0">
    <w:name w:val="WW8Num15z0"/>
    <w:qFormat/>
    <w:rPr>
      <w:u w:val="none"/>
    </w:rPr>
  </w:style>
  <w:style w:type="character" w:styleId="WW8Num16z0">
    <w:name w:val="WW8Num16z0"/>
    <w:qFormat/>
    <w:rPr>
      <w:u w:val="none"/>
    </w:rPr>
  </w:style>
  <w:style w:type="character" w:styleId="WW8Num16z2">
    <w:name w:val="WW8Num16z2"/>
    <w:qFormat/>
    <w:rPr>
      <w:b w:val="false"/>
      <w:i w:val="false"/>
      <w:u w:val="none"/>
    </w:rPr>
  </w:style>
  <w:style w:type="character" w:styleId="DefaultParagraphFont">
    <w:name w:val="Default Paragraph Font"/>
    <w:qFormat/>
    <w:rPr/>
  </w:style>
  <w:style w:type="character" w:styleId="PageNumber">
    <w:name w:val="page number"/>
    <w:basedOn w:val="DefaultParagraphFont"/>
    <w:rPr/>
  </w:style>
  <w:style w:type="character" w:styleId="Strong">
    <w:name w:val="Strong"/>
    <w:basedOn w:val="DefaultParagraphFont"/>
    <w:qFormat/>
    <w:rPr>
      <w:b/>
    </w:rPr>
  </w:style>
  <w:style w:type="character" w:styleId="DocID">
    <w:name w:val="DocID"/>
    <w:basedOn w:val="DefaultParagraphFont"/>
    <w:qFormat/>
    <w:rPr>
      <w:rFonts w:ascii="Arial" w:hAnsi="Arial" w:cs="Arial"/>
      <w:sz w:val="16"/>
    </w:rPr>
  </w:style>
  <w:style w:type="character" w:styleId="CommentReference">
    <w:name w:val="Comment Reference"/>
    <w:basedOn w:val="DefaultParagraphFont"/>
    <w:qFormat/>
    <w:rPr>
      <w:rFonts w:ascii="Tahoma" w:hAnsi="Tahoma" w:cs="Tahoma"/>
      <w:sz w:val="20"/>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rFonts w:ascii="Arial" w:hAnsi="Arial" w:cs="Arial"/>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0" w:after="240"/>
      <w:jc w:val="center"/>
      <w:outlineLvl w:val="0"/>
    </w:pPr>
    <w:rPr>
      <w:b/>
      <w:caps/>
      <w:kern w:val="2"/>
    </w:rPr>
  </w:style>
  <w:style w:type="paragraph" w:styleId="BodyText">
    <w:name w:val="Body Text"/>
    <w:basedOn w:val="Normal"/>
    <w:pPr>
      <w:spacing w:before="0" w:after="240"/>
      <w:ind w:firstLine="1440" w:start="0" w:end="0"/>
    </w:pPr>
    <w:rPr/>
  </w:style>
  <w:style w:type="paragraph" w:styleId="List">
    <w:name w:val="List"/>
    <w:basedOn w:val="Normal"/>
    <w:pPr>
      <w:spacing w:before="0" w:after="240"/>
      <w:ind w:hanging="0" w:start="720" w:end="0"/>
    </w:pPr>
    <w:rPr/>
  </w:style>
  <w:style w:type="paragraph" w:styleId="Caption">
    <w:name w:val="caption"/>
    <w:basedOn w:val="Normal"/>
    <w:next w:val="BodyText"/>
    <w:qFormat/>
    <w:pPr>
      <w:keepNext w:val="true"/>
      <w:spacing w:before="0" w:after="240"/>
      <w:jc w:val="star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jc w:val="start"/>
    </w:pPr>
    <w:rPr/>
  </w:style>
  <w:style w:type="paragraph" w:styleId="cclist">
    <w:name w:val="cc list"/>
    <w:basedOn w:val="Normal"/>
    <w:qFormat/>
    <w:pPr>
      <w:jc w:val="start"/>
    </w:pPr>
    <w:rPr/>
  </w:style>
  <w:style w:type="paragraph" w:styleId="DocumentLabel">
    <w:name w:val="Document Label"/>
    <w:next w:val="Normal"/>
    <w:qFormat/>
    <w:pPr>
      <w:widowControl/>
      <w:bidi w:val="0"/>
      <w:spacing w:lineRule="atLeast" w:line="600" w:before="140" w:after="540"/>
      <w:ind w:hanging="0" w:start="840" w:end="0"/>
      <w:jc w:val="center"/>
    </w:pPr>
    <w:rPr>
      <w:rFonts w:ascii="Times New Roman" w:hAnsi="Times New Roman" w:eastAsia="Times New Roman" w:cs="Times New Roman"/>
      <w:b/>
      <w:caps/>
      <w:color w:val="000000"/>
      <w:spacing w:val="38"/>
      <w:sz w:val="24"/>
      <w:szCs w:val="20"/>
      <w:u w:val="single"/>
      <w:lang w:val="en-US" w:eastAsia="zh-CN" w:bidi="hi-IN"/>
    </w:rPr>
  </w:style>
  <w:style w:type="paragraph" w:styleId="Footer">
    <w:name w:val="footer"/>
    <w:basedOn w:val="Normal"/>
    <w:pPr>
      <w:tabs>
        <w:tab w:val="clear" w:pos="720"/>
        <w:tab w:val="center" w:pos="4680" w:leader="none"/>
        <w:tab w:val="right" w:pos="9360" w:leader="none"/>
      </w:tabs>
      <w:jc w:val="start"/>
    </w:pPr>
    <w:rPr/>
  </w:style>
  <w:style w:type="paragraph" w:styleId="DayNumber">
    <w:name w:val="Day Number"/>
    <w:basedOn w:val="Normal"/>
    <w:qFormat/>
    <w:pPr>
      <w:spacing w:before="0" w:after="0"/>
      <w:ind w:hanging="0" w:start="0" w:end="0"/>
    </w:pPr>
    <w:rPr>
      <w:sz w:val="24"/>
    </w:rPr>
  </w:style>
  <w:style w:type="paragraph" w:styleId="TOC9">
    <w:name w:val="toc 9"/>
    <w:basedOn w:val="Normal"/>
    <w:next w:val="Normal"/>
    <w:pPr>
      <w:ind w:hanging="720" w:start="6480" w:end="720"/>
      <w:jc w:val="start"/>
    </w:pPr>
    <w:rPr/>
  </w:style>
  <w:style w:type="paragraph" w:styleId="FromToDate">
    <w:name w:val="FromToDate"/>
    <w:qFormat/>
    <w:pPr>
      <w:widowControl/>
      <w:bidi w:val="0"/>
      <w:jc w:val="both"/>
    </w:pPr>
    <w:rPr>
      <w:rFonts w:ascii="Times New Roman" w:hAnsi="Times New Roman" w:eastAsia="Times New Roman" w:cs="Times New Roman"/>
      <w:b/>
      <w:color w:val="auto"/>
      <w:sz w:val="22"/>
      <w:szCs w:val="20"/>
      <w:lang w:val="en-CA" w:eastAsia="zh-CN" w:bidi="hi-IN"/>
    </w:rPr>
  </w:style>
  <w:style w:type="paragraph" w:styleId="DocumentMap">
    <w:name w:val="Document Map"/>
    <w:basedOn w:val="Normal"/>
    <w:qFormat/>
    <w:pPr>
      <w:shd w:fill="000080" w:val="clear"/>
    </w:pPr>
    <w:rPr>
      <w:rFonts w:ascii="Tahoma" w:hAnsi="Tahoma" w:cs="Tahoma"/>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ind w:hanging="0" w:start="0" w:end="-5760"/>
    </w:pPr>
    <w:rPr>
      <w:rFonts w:ascii="Courier New" w:hAnsi="Courier New" w:eastAsia="Times New Roman" w:cs="Courier New"/>
      <w:color w:val="auto"/>
      <w:sz w:val="20"/>
      <w:szCs w:val="20"/>
      <w:lang w:val="en-US" w:bidi="ar-SA" w:eastAsia="zh-CN"/>
    </w:rPr>
  </w:style>
  <w:style w:type="paragraph" w:styleId="FromHeader">
    <w:name w:val="FromHeader"/>
    <w:basedOn w:val="FromToDate"/>
    <w:qFormat/>
    <w:pPr/>
    <w:rPr/>
  </w:style>
  <w:style w:type="paragraph" w:styleId="FromText">
    <w:name w:val="FromText"/>
    <w:basedOn w:val="Normal"/>
    <w:qFormat/>
    <w:pPr/>
    <w:rPr/>
  </w:style>
  <w:style w:type="paragraph" w:styleId="Initials">
    <w:name w:val="Initials"/>
    <w:basedOn w:val="Normal"/>
    <w:qFormat/>
    <w:pPr>
      <w:spacing w:before="240" w:after="240"/>
    </w:pPr>
    <w:rPr/>
  </w:style>
  <w:style w:type="paragraph" w:styleId="Index1">
    <w:name w:val="index 1"/>
    <w:basedOn w:val="Normal"/>
    <w:next w:val="Normal"/>
    <w:pPr>
      <w:ind w:hanging="245" w:start="245" w:end="0"/>
    </w:pPr>
    <w:rPr/>
  </w:style>
  <w:style w:type="paragraph" w:styleId="WW-Heading">
    <w:name w:val="WW-Heading"/>
    <w:basedOn w:val="Normal"/>
    <w:qFormat/>
    <w:pPr>
      <w:spacing w:before="0" w:after="240"/>
    </w:pPr>
    <w:rPr/>
  </w:style>
  <w:style w:type="paragraph" w:styleId="MemoHeadings">
    <w:name w:val="Memo Headings"/>
    <w:basedOn w:val="Normal"/>
    <w:qFormat/>
    <w:pPr>
      <w:jc w:val="start"/>
    </w:pPr>
    <w:rPr>
      <w:rFonts w:ascii="Arial" w:hAnsi="Arial" w:cs="Arial"/>
      <w:b/>
      <w:caps/>
    </w:rPr>
  </w:style>
  <w:style w:type="paragraph" w:styleId="Date">
    <w:name w:val="Date"/>
    <w:basedOn w:val="Normal"/>
    <w:next w:val="Normal"/>
    <w:qFormat/>
    <w:pPr/>
    <w:rPr/>
  </w:style>
  <w:style w:type="paragraph" w:styleId="BlockText">
    <w:name w:val="Block Text"/>
    <w:basedOn w:val="Normal"/>
    <w:qFormat/>
    <w:pPr>
      <w:spacing w:before="0" w:after="240"/>
      <w:ind w:hanging="0" w:start="1440" w:end="1440"/>
    </w:pPr>
    <w:rPr/>
  </w:style>
  <w:style w:type="paragraph" w:styleId="Salutation">
    <w:name w:val="Salutation"/>
    <w:basedOn w:val="Normal"/>
    <w:next w:val="Normal"/>
    <w:qFormat/>
    <w:pPr>
      <w:spacing w:before="0" w:after="240"/>
      <w:jc w:val="start"/>
    </w:pPr>
    <w:rPr/>
  </w:style>
  <w:style w:type="paragraph" w:styleId="Signature">
    <w:name w:val="Signature"/>
    <w:basedOn w:val="Normal"/>
    <w:pPr>
      <w:keepLines/>
      <w:ind w:hanging="0" w:start="4680" w:end="0"/>
      <w:jc w:val="start"/>
    </w:pPr>
    <w:rPr/>
  </w:style>
  <w:style w:type="paragraph" w:styleId="ClientMatter">
    <w:name w:val="Client Matter"/>
    <w:basedOn w:val="Normal"/>
    <w:qFormat/>
    <w:pPr>
      <w:jc w:val="end"/>
    </w:pPr>
    <w:rPr>
      <w:rFonts w:ascii="Arial" w:hAnsi="Arial" w:cs="Arial"/>
      <w:smallCaps/>
      <w:sz w:val="16"/>
    </w:rPr>
  </w:style>
  <w:style w:type="paragraph" w:styleId="Confidentiality">
    <w:name w:val="Confidentiality"/>
    <w:basedOn w:val="Normal"/>
    <w:qFormat/>
    <w:pPr>
      <w:jc w:val="start"/>
    </w:pPr>
    <w:rPr>
      <w:i/>
      <w:smallCaps/>
    </w:rPr>
  </w:style>
  <w:style w:type="paragraph" w:styleId="FirmName">
    <w:name w:val="Firm Name"/>
    <w:basedOn w:val="MemoHeadings"/>
    <w:qFormat/>
    <w:pPr>
      <w:spacing w:lineRule="exact" w:line="320"/>
      <w:jc w:val="center"/>
    </w:pPr>
    <w:rPr>
      <w:spacing w:val="30"/>
      <w:position w:val="-2"/>
      <w:sz w:val="26"/>
      <w:lang w:val="en-CA"/>
    </w:rPr>
  </w:style>
  <w:style w:type="paragraph" w:styleId="MemoTitle">
    <w:name w:val="Memo Title"/>
    <w:qFormat/>
    <w:pPr>
      <w:widowControl/>
      <w:bidi w:val="0"/>
      <w:spacing w:lineRule="atLeast" w:line="240" w:before="400" w:after="300"/>
      <w:jc w:val="center"/>
    </w:pPr>
    <w:rPr>
      <w:rFonts w:ascii="Times New Roman" w:hAnsi="Times New Roman" w:eastAsia="Times New Roman" w:cs="Times New Roman"/>
      <w:b/>
      <w:smallCaps/>
      <w:color w:val="auto"/>
      <w:spacing w:val="50"/>
      <w:kern w:val="2"/>
      <w:sz w:val="48"/>
      <w:szCs w:val="20"/>
      <w:lang w:val="en-CA" w:eastAsia="zh-CN" w:bidi="hi-IN"/>
    </w:rPr>
  </w:style>
  <w:style w:type="paragraph" w:styleId="MemoText">
    <w:name w:val="Memo Text"/>
    <w:basedOn w:val="Normal"/>
    <w:qFormat/>
    <w:pPr>
      <w:jc w:val="start"/>
    </w:pPr>
    <w:rPr/>
  </w:style>
  <w:style w:type="paragraph" w:styleId="ListBullet">
    <w:name w:val="List Bullet"/>
    <w:basedOn w:val="Normal"/>
    <w:qFormat/>
    <w:pPr>
      <w:numPr>
        <w:ilvl w:val="0"/>
        <w:numId w:val="11"/>
      </w:numPr>
      <w:tabs>
        <w:tab w:val="clear" w:pos="720"/>
      </w:tabs>
      <w:spacing w:before="0" w:after="240"/>
    </w:pPr>
    <w:rPr/>
  </w:style>
  <w:style w:type="paragraph" w:styleId="BlockText2">
    <w:name w:val="Block Text 2"/>
    <w:basedOn w:val="Normal"/>
    <w:qFormat/>
    <w:pPr>
      <w:spacing w:lineRule="auto" w:line="480"/>
      <w:ind w:hanging="0" w:start="1440" w:end="1440"/>
    </w:pPr>
    <w:rPr/>
  </w:style>
  <w:style w:type="paragraph" w:styleId="BlockText3">
    <w:name w:val="Block Text 3"/>
    <w:basedOn w:val="Normal"/>
    <w:qFormat/>
    <w:pPr>
      <w:spacing w:before="0" w:after="240"/>
      <w:ind w:firstLine="720" w:start="1440" w:end="1440"/>
    </w:pPr>
    <w:rPr/>
  </w:style>
  <w:style w:type="paragraph" w:styleId="BlockText4">
    <w:name w:val="Block Text 4"/>
    <w:basedOn w:val="Normal"/>
    <w:qFormat/>
    <w:pPr>
      <w:spacing w:lineRule="auto" w:line="480"/>
      <w:ind w:firstLine="720" w:start="1440" w:end="1440"/>
    </w:pPr>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pPr>
    <w:rPr/>
  </w:style>
  <w:style w:type="paragraph" w:styleId="BodyText4">
    <w:name w:val="Body Text 4"/>
    <w:basedOn w:val="Normal"/>
    <w:qFormat/>
    <w:pPr>
      <w:spacing w:lineRule="auto" w:line="480"/>
    </w:pPr>
    <w:rPr/>
  </w:style>
  <w:style w:type="paragraph" w:styleId="BodyTextFirstIndent">
    <w:name w:val="Body Text First Indent"/>
    <w:basedOn w:val="Normal"/>
    <w:qFormat/>
    <w:pPr>
      <w:spacing w:before="0" w:after="240"/>
      <w:ind w:firstLine="720" w:start="0" w:end="0"/>
    </w:pPr>
    <w:rPr/>
  </w:style>
  <w:style w:type="paragraph" w:styleId="BodyTextIndent">
    <w:name w:val="Body Text Indent"/>
    <w:basedOn w:val="Normal"/>
    <w:pPr>
      <w:spacing w:before="0" w:after="240"/>
      <w:ind w:hanging="0" w:start="720" w:end="720"/>
    </w:pPr>
    <w:rPr/>
  </w:style>
  <w:style w:type="paragraph" w:styleId="BodyTextFirstIndent2">
    <w:name w:val="Body Text First Indent 2"/>
    <w:basedOn w:val="Normal"/>
    <w:qFormat/>
    <w:pPr>
      <w:spacing w:lineRule="auto" w:line="480"/>
      <w:ind w:firstLine="720" w:start="0" w:end="0"/>
    </w:pPr>
    <w:rPr/>
  </w:style>
  <w:style w:type="paragraph" w:styleId="BodyTextFirstIndent3">
    <w:name w:val="Body Text First Indent 3"/>
    <w:basedOn w:val="Normal"/>
    <w:qFormat/>
    <w:pPr>
      <w:spacing w:lineRule="auto" w:line="360"/>
      <w:ind w:firstLine="720" w:start="0" w:end="0"/>
    </w:pPr>
    <w:rPr/>
  </w:style>
  <w:style w:type="paragraph" w:styleId="BodyTextIndent2">
    <w:name w:val="Body Text Indent 2"/>
    <w:basedOn w:val="Normal"/>
    <w:qFormat/>
    <w:pPr>
      <w:spacing w:lineRule="auto" w:line="480"/>
      <w:ind w:hanging="0" w:start="720" w:end="720"/>
    </w:pPr>
    <w:rPr/>
  </w:style>
  <w:style w:type="paragraph" w:styleId="BodyTextIndent3">
    <w:name w:val="Body Text Indent 3"/>
    <w:basedOn w:val="Normal"/>
    <w:qFormat/>
    <w:pPr>
      <w:spacing w:before="0" w:after="240"/>
      <w:ind w:firstLine="720" w:start="720" w:end="0"/>
    </w:pPr>
    <w:rPr/>
  </w:style>
  <w:style w:type="paragraph" w:styleId="BodyTextIndent4">
    <w:name w:val="Body Text Indent 4"/>
    <w:basedOn w:val="Normal"/>
    <w:qFormat/>
    <w:pPr>
      <w:spacing w:lineRule="auto" w:line="480"/>
      <w:ind w:hanging="0" w:start="720" w:end="720"/>
    </w:pPr>
    <w:rPr/>
  </w:style>
  <w:style w:type="paragraph" w:styleId="Closing">
    <w:name w:val="Closing"/>
    <w:basedOn w:val="Normal"/>
    <w:qFormat/>
    <w:pPr>
      <w:keepLines/>
      <w:ind w:hanging="0" w:start="4680" w:end="0"/>
      <w:jc w:val="start"/>
    </w:pPr>
    <w:rPr/>
  </w:style>
  <w:style w:type="paragraph" w:styleId="CommentText">
    <w:name w:val="Comment Text"/>
    <w:basedOn w:val="Normal"/>
    <w:qFormat/>
    <w:pPr/>
    <w:rPr/>
  </w:style>
  <w:style w:type="paragraph" w:styleId="EndnoteText">
    <w:name w:val="endnote text"/>
    <w:basedOn w:val="Normal"/>
    <w:pPr/>
    <w:rPr/>
  </w:style>
  <w:style w:type="paragraph" w:styleId="FootnoteText">
    <w:name w:val="footnote text"/>
    <w:basedOn w:val="Normal"/>
    <w:pPr>
      <w:spacing w:before="0" w:after="120"/>
      <w:ind w:firstLine="720" w:start="0" w:end="0"/>
    </w:pPr>
    <w:rPr/>
  </w:style>
  <w:style w:type="paragraph" w:styleId="FrameDateandTime">
    <w:name w:val="Frame Date and Time"/>
    <w:basedOn w:val="Footer"/>
    <w:qFormat/>
    <w:pPr/>
    <w:rPr>
      <w:rFonts w:ascii="Arial" w:hAnsi="Arial" w:cs="Arial"/>
      <w:sz w:val="16"/>
    </w:rPr>
  </w:style>
  <w:style w:type="paragraph" w:styleId="FramePageNumber">
    <w:name w:val="Frame Page Number"/>
    <w:basedOn w:val="Footer"/>
    <w:qFormat/>
    <w:pPr/>
    <w:rPr/>
  </w:style>
  <w:style w:type="paragraph" w:styleId="Hanging">
    <w:name w:val="Hanging"/>
    <w:basedOn w:val="Normal"/>
    <w:qFormat/>
    <w:pPr>
      <w:spacing w:before="0" w:after="240"/>
      <w:ind w:hanging="2160" w:start="2160" w:end="0"/>
    </w:pPr>
    <w:rPr/>
  </w:style>
  <w:style w:type="paragraph" w:styleId="HIDDEN">
    <w:name w:val="HIDDEN"/>
    <w:basedOn w:val="Normal"/>
    <w:next w:val="Normal"/>
    <w:qFormat/>
    <w:pPr>
      <w:widowControl w:val="false"/>
    </w:pPr>
    <w:rPr>
      <w:vanish/>
      <w:effect w:val="blinkBackground"/>
      <w:lang w:val="en-CA"/>
    </w:rPr>
  </w:style>
  <w:style w:type="paragraph" w:styleId="ListBullet2">
    <w:name w:val="List Bullet 2"/>
    <w:basedOn w:val="Normal"/>
    <w:pPr>
      <w:spacing w:before="0" w:after="240"/>
      <w:ind w:hanging="0" w:start="1440" w:end="0"/>
    </w:pPr>
    <w:rPr/>
  </w:style>
  <w:style w:type="paragraph" w:styleId="ListBullet3">
    <w:name w:val="List Bullet 3"/>
    <w:basedOn w:val="Normal"/>
    <w:pPr>
      <w:spacing w:before="0" w:after="240"/>
      <w:ind w:hanging="0" w:start="2160" w:end="0"/>
    </w:pPr>
    <w:rPr/>
  </w:style>
  <w:style w:type="paragraph" w:styleId="ListBullet4">
    <w:name w:val="List Bullet 4"/>
    <w:basedOn w:val="Normal"/>
    <w:pPr>
      <w:spacing w:before="0" w:after="240"/>
      <w:ind w:hanging="0" w:start="2880" w:end="0"/>
    </w:pPr>
    <w:rPr/>
  </w:style>
  <w:style w:type="paragraph" w:styleId="ListBullet5">
    <w:name w:val="List Bullet 5"/>
    <w:basedOn w:val="Normal"/>
    <w:pPr>
      <w:spacing w:before="0" w:after="240"/>
      <w:ind w:hanging="0" w:start="3600" w:end="0"/>
    </w:pPr>
    <w:rPr/>
  </w:style>
  <w:style w:type="paragraph" w:styleId="Level1">
    <w:name w:val="Level 1"/>
    <w:basedOn w:val="Normal"/>
    <w:qFormat/>
    <w:pPr>
      <w:numPr>
        <w:ilvl w:val="0"/>
        <w:numId w:val="12"/>
      </w:numPr>
      <w:tabs>
        <w:tab w:val="clear" w:pos="720"/>
      </w:tabs>
      <w:spacing w:before="0" w:after="240"/>
    </w:pPr>
    <w:rPr/>
  </w:style>
  <w:style w:type="paragraph" w:styleId="Level2">
    <w:name w:val="Level 2"/>
    <w:basedOn w:val="Normal"/>
    <w:qFormat/>
    <w:pPr>
      <w:numPr>
        <w:ilvl w:val="0"/>
        <w:numId w:val="12"/>
      </w:numPr>
      <w:tabs>
        <w:tab w:val="clear" w:pos="720"/>
      </w:tabs>
      <w:spacing w:before="0" w:after="240"/>
    </w:pPr>
    <w:rPr/>
  </w:style>
  <w:style w:type="paragraph" w:styleId="Level3">
    <w:name w:val="Level 3"/>
    <w:basedOn w:val="Normal"/>
    <w:qFormat/>
    <w:pPr>
      <w:numPr>
        <w:ilvl w:val="0"/>
        <w:numId w:val="12"/>
      </w:numPr>
      <w:tabs>
        <w:tab w:val="clear" w:pos="720"/>
      </w:tabs>
      <w:spacing w:before="0" w:after="240"/>
    </w:pPr>
    <w:rPr/>
  </w:style>
  <w:style w:type="paragraph" w:styleId="Level4">
    <w:name w:val="Level 4"/>
    <w:basedOn w:val="Normal"/>
    <w:qFormat/>
    <w:pPr>
      <w:numPr>
        <w:ilvl w:val="0"/>
        <w:numId w:val="12"/>
      </w:numPr>
      <w:tabs>
        <w:tab w:val="clear" w:pos="720"/>
      </w:tabs>
      <w:spacing w:before="0" w:after="240"/>
    </w:pPr>
    <w:rPr/>
  </w:style>
  <w:style w:type="paragraph" w:styleId="Level5">
    <w:name w:val="Level 5"/>
    <w:basedOn w:val="Normal"/>
    <w:qFormat/>
    <w:pPr>
      <w:numPr>
        <w:ilvl w:val="0"/>
        <w:numId w:val="12"/>
      </w:numPr>
      <w:tabs>
        <w:tab w:val="clear" w:pos="720"/>
      </w:tabs>
      <w:spacing w:before="0" w:after="240"/>
    </w:pPr>
    <w:rPr/>
  </w:style>
  <w:style w:type="paragraph" w:styleId="Level6">
    <w:name w:val="Level 6"/>
    <w:basedOn w:val="Normal"/>
    <w:qFormat/>
    <w:pPr>
      <w:numPr>
        <w:ilvl w:val="0"/>
        <w:numId w:val="12"/>
      </w:numPr>
      <w:tabs>
        <w:tab w:val="clear" w:pos="720"/>
      </w:tabs>
      <w:spacing w:before="0" w:after="240"/>
    </w:pPr>
    <w:rPr/>
  </w:style>
  <w:style w:type="paragraph" w:styleId="Level7">
    <w:name w:val="Level 7"/>
    <w:basedOn w:val="Normal"/>
    <w:qFormat/>
    <w:pPr>
      <w:numPr>
        <w:ilvl w:val="0"/>
        <w:numId w:val="12"/>
      </w:numPr>
      <w:tabs>
        <w:tab w:val="clear" w:pos="720"/>
      </w:tabs>
      <w:spacing w:before="0" w:after="240"/>
    </w:pPr>
    <w:rPr/>
  </w:style>
  <w:style w:type="paragraph" w:styleId="Level8">
    <w:name w:val="Level 8"/>
    <w:basedOn w:val="Normal"/>
    <w:qFormat/>
    <w:pPr>
      <w:numPr>
        <w:ilvl w:val="0"/>
        <w:numId w:val="12"/>
      </w:numPr>
      <w:tabs>
        <w:tab w:val="clear" w:pos="720"/>
      </w:tabs>
      <w:spacing w:before="0" w:after="240"/>
    </w:pPr>
    <w:rPr/>
  </w:style>
  <w:style w:type="paragraph" w:styleId="Level9">
    <w:name w:val="Level 9"/>
    <w:basedOn w:val="Normal"/>
    <w:qFormat/>
    <w:pPr>
      <w:numPr>
        <w:ilvl w:val="0"/>
        <w:numId w:val="12"/>
      </w:numPr>
      <w:tabs>
        <w:tab w:val="clear" w:pos="720"/>
      </w:tabs>
      <w:spacing w:before="0" w:after="240"/>
    </w:pPr>
    <w:rPr/>
  </w:style>
  <w:style w:type="paragraph" w:styleId="Index2">
    <w:name w:val="index 2"/>
    <w:basedOn w:val="Normal"/>
    <w:next w:val="Normal"/>
    <w:pPr>
      <w:ind w:hanging="245" w:start="490" w:end="0"/>
    </w:pPr>
    <w:rPr/>
  </w:style>
  <w:style w:type="paragraph" w:styleId="Index3">
    <w:name w:val="index 3"/>
    <w:basedOn w:val="Normal"/>
    <w:next w:val="Normal"/>
    <w:pPr>
      <w:ind w:hanging="245" w:start="720" w:end="0"/>
    </w:pPr>
    <w:rPr/>
  </w:style>
  <w:style w:type="paragraph" w:styleId="Index4">
    <w:name w:val="Index 4"/>
    <w:basedOn w:val="Normal"/>
    <w:next w:val="Normal"/>
    <w:qFormat/>
    <w:pPr>
      <w:ind w:hanging="245" w:start="965" w:end="0"/>
    </w:pPr>
    <w:rPr/>
  </w:style>
  <w:style w:type="paragraph" w:styleId="Index5">
    <w:name w:val="Index 5"/>
    <w:basedOn w:val="Normal"/>
    <w:next w:val="Normal"/>
    <w:qFormat/>
    <w:pPr>
      <w:ind w:hanging="245" w:start="1210" w:end="0"/>
    </w:pPr>
    <w:rPr/>
  </w:style>
  <w:style w:type="paragraph" w:styleId="Index6">
    <w:name w:val="Index 6"/>
    <w:basedOn w:val="Normal"/>
    <w:next w:val="Normal"/>
    <w:qFormat/>
    <w:pPr>
      <w:ind w:hanging="245" w:start="1440" w:end="0"/>
    </w:pPr>
    <w:rPr/>
  </w:style>
  <w:style w:type="paragraph" w:styleId="Index7">
    <w:name w:val="Index 7"/>
    <w:basedOn w:val="Normal"/>
    <w:next w:val="Normal"/>
    <w:qFormat/>
    <w:pPr>
      <w:ind w:hanging="245" w:start="1685" w:end="0"/>
    </w:pPr>
    <w:rPr/>
  </w:style>
  <w:style w:type="paragraph" w:styleId="Index8">
    <w:name w:val="Index 8"/>
    <w:basedOn w:val="Normal"/>
    <w:next w:val="Normal"/>
    <w:qFormat/>
    <w:pPr>
      <w:ind w:hanging="245" w:start="1930" w:end="0"/>
    </w:pPr>
    <w:rPr/>
  </w:style>
  <w:style w:type="paragraph" w:styleId="Index9">
    <w:name w:val="Index 9"/>
    <w:basedOn w:val="Normal"/>
    <w:next w:val="Normal"/>
    <w:qFormat/>
    <w:pPr>
      <w:ind w:hanging="245" w:start="2160" w:end="0"/>
    </w:pPr>
    <w:rPr/>
  </w:style>
  <w:style w:type="paragraph" w:styleId="IndexHeading">
    <w:name w:val="index heading"/>
    <w:basedOn w:val="Normal"/>
    <w:next w:val="Index1"/>
    <w:pPr/>
    <w:rPr>
      <w:b/>
    </w:rPr>
  </w:style>
  <w:style w:type="paragraph" w:styleId="ListBullet21">
    <w:name w:val="List Bullet 21"/>
    <w:basedOn w:val="Normal"/>
    <w:qFormat/>
    <w:pPr>
      <w:numPr>
        <w:ilvl w:val="0"/>
        <w:numId w:val="9"/>
      </w:numPr>
      <w:tabs>
        <w:tab w:val="clear" w:pos="720"/>
      </w:tabs>
      <w:spacing w:before="0" w:after="240"/>
    </w:pPr>
    <w:rPr/>
  </w:style>
  <w:style w:type="paragraph" w:styleId="ListBullet31">
    <w:name w:val="List Bullet 31"/>
    <w:basedOn w:val="Normal"/>
    <w:qFormat/>
    <w:pPr>
      <w:numPr>
        <w:ilvl w:val="0"/>
        <w:numId w:val="8"/>
      </w:numPr>
      <w:tabs>
        <w:tab w:val="clear" w:pos="720"/>
      </w:tabs>
      <w:spacing w:before="0" w:after="240"/>
    </w:pPr>
    <w:rPr/>
  </w:style>
  <w:style w:type="paragraph" w:styleId="ListBullet41">
    <w:name w:val="List Bullet 41"/>
    <w:basedOn w:val="Normal"/>
    <w:qFormat/>
    <w:pPr>
      <w:numPr>
        <w:ilvl w:val="0"/>
        <w:numId w:val="7"/>
      </w:numPr>
      <w:tabs>
        <w:tab w:val="clear" w:pos="720"/>
      </w:tabs>
      <w:spacing w:before="0" w:after="240"/>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240"/>
      <w:ind w:hanging="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firstLine="1440" w:start="0" w:end="0"/>
    </w:pPr>
    <w:rPr/>
  </w:style>
  <w:style w:type="paragraph" w:styleId="ListContinue5">
    <w:name w:val="List Continue 5"/>
    <w:basedOn w:val="Normal"/>
    <w:qFormat/>
    <w:pPr>
      <w:spacing w:before="0" w:after="240"/>
      <w:ind w:firstLine="2160" w:start="0" w:end="0"/>
    </w:pPr>
    <w:rPr/>
  </w:style>
  <w:style w:type="paragraph" w:styleId="ListNumber">
    <w:name w:val="List Number"/>
    <w:basedOn w:val="Normal"/>
    <w:qFormat/>
    <w:pPr>
      <w:numPr>
        <w:ilvl w:val="0"/>
        <w:numId w:val="10"/>
      </w:numPr>
      <w:tabs>
        <w:tab w:val="clear" w:pos="720"/>
      </w:tabs>
      <w:spacing w:before="0" w:after="240"/>
    </w:pPr>
    <w:rPr/>
  </w:style>
  <w:style w:type="paragraph" w:styleId="ListNumber2">
    <w:name w:val="List Number 2"/>
    <w:basedOn w:val="Normal"/>
    <w:qFormat/>
    <w:pPr>
      <w:numPr>
        <w:ilvl w:val="0"/>
        <w:numId w:val="5"/>
      </w:numPr>
      <w:tabs>
        <w:tab w:val="clear" w:pos="720"/>
      </w:tabs>
      <w:spacing w:before="0" w:after="240"/>
    </w:pPr>
    <w:rPr/>
  </w:style>
  <w:style w:type="paragraph" w:styleId="ListNumber3">
    <w:name w:val="List Number 3"/>
    <w:basedOn w:val="Normal"/>
    <w:qFormat/>
    <w:pPr>
      <w:numPr>
        <w:ilvl w:val="0"/>
        <w:numId w:val="4"/>
      </w:numPr>
      <w:tabs>
        <w:tab w:val="clear" w:pos="720"/>
      </w:tabs>
      <w:spacing w:before="0" w:after="240"/>
    </w:pPr>
    <w:rPr/>
  </w:style>
  <w:style w:type="paragraph" w:styleId="ListNumber4">
    <w:name w:val="List Number 4"/>
    <w:basedOn w:val="Normal"/>
    <w:qFormat/>
    <w:pPr>
      <w:numPr>
        <w:ilvl w:val="0"/>
        <w:numId w:val="3"/>
      </w:numPr>
      <w:tabs>
        <w:tab w:val="clear" w:pos="720"/>
      </w:tabs>
      <w:spacing w:before="0" w:after="240"/>
    </w:pPr>
    <w:rPr/>
  </w:style>
  <w:style w:type="paragraph" w:styleId="ListNumber5">
    <w:name w:val="List Number 5"/>
    <w:basedOn w:val="Normal"/>
    <w:qFormat/>
    <w:pPr>
      <w:numPr>
        <w:ilvl w:val="0"/>
        <w:numId w:val="2"/>
      </w:numPr>
      <w:tabs>
        <w:tab w:val="clear" w:pos="720"/>
      </w:tabs>
      <w:spacing w:before="0" w:after="240"/>
    </w:pPr>
    <w:rPr/>
  </w:style>
  <w:style w:type="paragraph" w:styleId="ListNumberA">
    <w:name w:val="List Number A"/>
    <w:basedOn w:val="Normal"/>
    <w:qFormat/>
    <w:pPr>
      <w:numPr>
        <w:ilvl w:val="0"/>
        <w:numId w:val="13"/>
      </w:numPr>
      <w:tabs>
        <w:tab w:val="clear" w:pos="720"/>
      </w:tabs>
      <w:spacing w:before="0" w:after="240"/>
    </w:pPr>
    <w:rPr/>
  </w:style>
  <w:style w:type="paragraph" w:styleId="Subtitle">
    <w:name w:val="Subtitle"/>
    <w:basedOn w:val="Normal"/>
    <w:next w:val="BodyText"/>
    <w:qFormat/>
    <w:pPr>
      <w:keepNext w:val="true"/>
      <w:spacing w:before="0" w:after="240"/>
      <w:jc w:val="center"/>
      <w:outlineLvl w:val="1"/>
    </w:pPr>
    <w:rPr>
      <w:b/>
    </w:rPr>
  </w:style>
  <w:style w:type="paragraph" w:styleId="SubtitleUnderline">
    <w:name w:val="Subtitle Underline"/>
    <w:basedOn w:val="Subtitle"/>
    <w:next w:val="BodyText"/>
    <w:qFormat/>
    <w:pPr/>
    <w:rPr>
      <w:u w:val="single"/>
    </w:rPr>
  </w:style>
  <w:style w:type="paragraph" w:styleId="TableofAuthorities">
    <w:name w:val="Table of Authorities"/>
    <w:basedOn w:val="Normal"/>
    <w:next w:val="Normal"/>
    <w:qFormat/>
    <w:pPr>
      <w:spacing w:before="0" w:after="240"/>
      <w:ind w:hanging="360" w:start="360" w:end="0"/>
    </w:pPr>
    <w:rPr/>
  </w:style>
  <w:style w:type="paragraph" w:styleId="TableofFigures">
    <w:name w:val="Table of Figures"/>
    <w:basedOn w:val="Normal"/>
    <w:next w:val="Normal"/>
    <w:qFormat/>
    <w:pPr>
      <w:spacing w:before="0" w:after="240"/>
      <w:ind w:hanging="720" w:start="720" w:end="0"/>
    </w:pPr>
    <w:rPr/>
  </w:style>
  <w:style w:type="paragraph" w:styleId="TitleUnderline">
    <w:name w:val="Title Underline"/>
    <w:basedOn w:val="Heading"/>
    <w:next w:val="BodyText"/>
    <w:qFormat/>
    <w:pPr/>
    <w:rPr>
      <w:u w:val="single"/>
    </w:rPr>
  </w:style>
  <w:style w:type="paragraph" w:styleId="TOAHeading">
    <w:name w:val="TOA Heading"/>
    <w:basedOn w:val="Normal"/>
    <w:next w:val="Normal"/>
    <w:qFormat/>
    <w:pPr>
      <w:spacing w:before="0" w:after="240"/>
    </w:pPr>
    <w:rPr>
      <w:b/>
      <w:caps/>
    </w:rPr>
  </w:style>
  <w:style w:type="paragraph" w:styleId="TOC1">
    <w:name w:val="toc 1"/>
    <w:basedOn w:val="Normal"/>
    <w:next w:val="Normal"/>
    <w:pPr>
      <w:spacing w:before="240" w:after="0"/>
      <w:ind w:hanging="720" w:start="720" w:end="720"/>
      <w:jc w:val="start"/>
    </w:pPr>
    <w:rPr/>
  </w:style>
  <w:style w:type="paragraph" w:styleId="TOC2">
    <w:name w:val="toc 2"/>
    <w:basedOn w:val="Normal"/>
    <w:next w:val="Normal"/>
    <w:pPr>
      <w:ind w:hanging="720" w:start="1440" w:end="720"/>
      <w:jc w:val="start"/>
    </w:pPr>
    <w:rPr/>
  </w:style>
  <w:style w:type="paragraph" w:styleId="TOC3">
    <w:name w:val="toc 3"/>
    <w:basedOn w:val="Normal"/>
    <w:next w:val="Normal"/>
    <w:pPr>
      <w:ind w:hanging="720" w:start="2160" w:end="720"/>
      <w:jc w:val="start"/>
    </w:pPr>
    <w:rPr/>
  </w:style>
  <w:style w:type="paragraph" w:styleId="TOC4">
    <w:name w:val="toc 4"/>
    <w:basedOn w:val="Normal"/>
    <w:next w:val="Normal"/>
    <w:pPr>
      <w:ind w:hanging="720" w:start="2880" w:end="720"/>
      <w:jc w:val="start"/>
    </w:pPr>
    <w:rPr/>
  </w:style>
  <w:style w:type="paragraph" w:styleId="TOC5">
    <w:name w:val="toc 5"/>
    <w:basedOn w:val="Normal"/>
    <w:next w:val="Normal"/>
    <w:pPr>
      <w:ind w:hanging="720" w:start="3600" w:end="720"/>
      <w:jc w:val="start"/>
    </w:pPr>
    <w:rPr/>
  </w:style>
  <w:style w:type="paragraph" w:styleId="TOC6">
    <w:name w:val="toc 6"/>
    <w:basedOn w:val="Normal"/>
    <w:next w:val="Normal"/>
    <w:pPr>
      <w:ind w:hanging="720" w:start="4320" w:end="720"/>
      <w:jc w:val="start"/>
    </w:pPr>
    <w:rPr/>
  </w:style>
  <w:style w:type="paragraph" w:styleId="TOC7">
    <w:name w:val="toc 7"/>
    <w:basedOn w:val="Normal"/>
    <w:next w:val="Normal"/>
    <w:pPr>
      <w:ind w:hanging="720" w:start="5040" w:end="720"/>
      <w:jc w:val="start"/>
    </w:pPr>
    <w:rPr/>
  </w:style>
  <w:style w:type="paragraph" w:styleId="TOC8">
    <w:name w:val="toc 8"/>
    <w:basedOn w:val="Normal"/>
    <w:next w:val="Normal"/>
    <w:pPr>
      <w:ind w:hanging="720" w:start="5760" w:end="720"/>
      <w:jc w:val="start"/>
    </w:pPr>
    <w:rPr/>
  </w:style>
  <w:style w:type="paragraph" w:styleId="Para1">
    <w:name w:val="Para1"/>
    <w:basedOn w:val="Normal"/>
    <w:qFormat/>
    <w:pPr>
      <w:spacing w:before="0" w:after="240"/>
      <w:ind w:firstLine="1440" w:start="0" w:end="0"/>
    </w:pPr>
    <w:rPr/>
  </w:style>
  <w:style w:type="paragraph" w:styleId="Para2">
    <w:name w:val="Para2"/>
    <w:basedOn w:val="Normal"/>
    <w:qFormat/>
    <w:pPr>
      <w:spacing w:before="0" w:after="240"/>
      <w:ind w:firstLine="2160" w:start="0" w:end="0"/>
    </w:pPr>
    <w:rPr/>
  </w:style>
  <w:style w:type="paragraph" w:styleId="Para3">
    <w:name w:val="Para3"/>
    <w:basedOn w:val="Normal"/>
    <w:qFormat/>
    <w:pPr>
      <w:spacing w:before="0" w:after="240"/>
      <w:ind w:firstLine="2880" w:start="0" w:end="0"/>
    </w:pPr>
    <w:rPr/>
  </w:style>
  <w:style w:type="paragraph" w:styleId="Para4">
    <w:name w:val="Para4"/>
    <w:basedOn w:val="Normal"/>
    <w:qFormat/>
    <w:pPr>
      <w:spacing w:before="0" w:after="240"/>
      <w:ind w:firstLine="3600" w:start="0" w:end="0"/>
    </w:pPr>
    <w:rPr/>
  </w:style>
  <w:style w:type="paragraph" w:styleId="Para5">
    <w:name w:val="Para5"/>
    <w:basedOn w:val="Normal"/>
    <w:qFormat/>
    <w:pPr>
      <w:spacing w:before="0" w:after="240"/>
      <w:ind w:firstLine="4320" w:start="0" w:end="0"/>
    </w:pPr>
    <w:rPr/>
  </w:style>
  <w:style w:type="paragraph" w:styleId="Para6">
    <w:name w:val="Para6"/>
    <w:basedOn w:val="Normal"/>
    <w:qFormat/>
    <w:pPr>
      <w:spacing w:before="0" w:after="240"/>
      <w:ind w:firstLine="5040" w:start="0" w:end="0"/>
    </w:pPr>
    <w:rPr/>
  </w:style>
  <w:style w:type="paragraph" w:styleId="Para7">
    <w:name w:val="Para7"/>
    <w:basedOn w:val="Normal"/>
    <w:qFormat/>
    <w:pPr>
      <w:spacing w:before="0" w:after="240"/>
      <w:ind w:firstLine="5760" w:start="0" w:end="0"/>
    </w:pPr>
    <w:rPr/>
  </w:style>
  <w:style w:type="paragraph" w:styleId="Para8">
    <w:name w:val="Para8"/>
    <w:basedOn w:val="Normal"/>
    <w:qFormat/>
    <w:pPr>
      <w:spacing w:before="0" w:after="240"/>
      <w:ind w:firstLine="6480" w:start="0" w:end="0"/>
    </w:pPr>
    <w:rPr/>
  </w:style>
  <w:style w:type="paragraph" w:styleId="Para9">
    <w:name w:val="Para9"/>
    <w:basedOn w:val="Normal"/>
    <w:qFormat/>
    <w:pPr>
      <w:spacing w:before="0" w:after="240"/>
      <w:ind w:firstLine="1440" w:start="0" w:end="0"/>
    </w:pPr>
    <w:rPr/>
  </w:style>
  <w:style w:type="paragraph" w:styleId="EnvelopeAddress">
    <w:name w:val="envelope address"/>
    <w:basedOn w:val="Normal"/>
    <w:pPr>
      <w:ind w:hanging="0" w:start="2880" w:end="0"/>
      <w:jc w:val="start"/>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TLMemo.dot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2001-08-03T20:01:00Z</dcterms:created>
  <dc:creator>Technology Department</dc:creator>
  <dc:description/>
  <cp:keywords>001.1056399</cp:keywords>
  <dc:language>en-CA</dc:language>
  <cp:lastModifiedBy>Tom Mullooly</cp:lastModifiedBy>
  <cp:lastPrinted>2001-08-03T19:04:00Z</cp:lastPrinted>
  <dcterms:modified xsi:type="dcterms:W3CDTF">2001-08-03T21:41:00Z</dcterms:modified>
  <cp:revision>11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ies>
</file>