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Budget Explanation for California/West</w:t>
      </w:r>
    </w:p>
    <w:p>
      <w:pPr>
        <w:pStyle w:val="Normal"/>
        <w:rPr/>
      </w:pPr>
      <w:r>
        <w:rPr/>
      </w:r>
    </w:p>
    <w:p>
      <w:pPr>
        <w:pStyle w:val="Normal"/>
        <w:rPr/>
      </w:pPr>
      <w:r>
        <w:rPr/>
      </w:r>
    </w:p>
    <w:p>
      <w:pPr>
        <w:pStyle w:val="Normal"/>
        <w:rPr/>
      </w:pPr>
      <w:r>
        <w:rPr/>
      </w:r>
    </w:p>
    <w:tbl>
      <w:tblPr>
        <w:tblW w:w="13878" w:type="dxa"/>
        <w:jc w:val="start"/>
        <w:tblInd w:w="0" w:type="dxa"/>
        <w:tblLayout w:type="fixed"/>
        <w:tblCellMar>
          <w:top w:w="0" w:type="dxa"/>
          <w:start w:w="108" w:type="dxa"/>
          <w:bottom w:w="0" w:type="dxa"/>
          <w:end w:w="108" w:type="dxa"/>
        </w:tblCellMar>
      </w:tblPr>
      <w:tblGrid>
        <w:gridCol w:w="3708"/>
        <w:gridCol w:w="10170"/>
      </w:tblGrid>
      <w:tr>
        <w:trPr/>
        <w:tc>
          <w:tcPr>
            <w:tcW w:w="370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Budget Category</w:t>
            </w:r>
          </w:p>
        </w:tc>
        <w:tc>
          <w:tcPr>
            <w:tcW w:w="10170"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Notes</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Arizona</w:t>
            </w:r>
          </w:p>
        </w:tc>
        <w:tc>
          <w:tcPr>
            <w:tcW w:w="101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 budget.  We may have projects to consider in RCR process if appeal of APS Settlement succeeds.</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Alaska/Hawaii</w:t>
            </w:r>
          </w:p>
        </w:tc>
        <w:tc>
          <w:tcPr>
            <w:tcW w:w="101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 budget.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California.</w:t>
            </w:r>
          </w:p>
        </w:tc>
        <w:tc>
          <w:tcPr>
            <w:tcW w:w="101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Much of the explanation for our requested fixed budget (including the legislative budget) is found in our California strategy document that you should have received under separate cover.  We note California is a Category A state.  </w:t>
            </w:r>
          </w:p>
          <w:p>
            <w:pPr>
              <w:pStyle w:val="Normal"/>
              <w:rPr>
                <w:sz w:val="24"/>
              </w:rPr>
            </w:pPr>
            <w:r>
              <w:rPr>
                <w:sz w:val="24"/>
              </w:rPr>
            </w:r>
          </w:p>
          <w:p>
            <w:pPr>
              <w:pStyle w:val="Normal"/>
              <w:rPr>
                <w:sz w:val="24"/>
              </w:rPr>
            </w:pPr>
            <w:r>
              <w:rPr>
                <w:sz w:val="24"/>
              </w:rPr>
              <w:t>As indicated in that memorandum:</w:t>
            </w:r>
          </w:p>
          <w:p>
            <w:pPr>
              <w:pStyle w:val="Normal"/>
              <w:rPr>
                <w:sz w:val="24"/>
              </w:rPr>
            </w:pPr>
            <w:r>
              <w:rPr>
                <w:sz w:val="24"/>
              </w:rPr>
            </w:r>
          </w:p>
          <w:p>
            <w:pPr>
              <w:pStyle w:val="Normal"/>
              <w:numPr>
                <w:ilvl w:val="0"/>
                <w:numId w:val="2"/>
              </w:numPr>
              <w:rPr>
                <w:sz w:val="24"/>
              </w:rPr>
            </w:pPr>
            <w:r>
              <w:rPr>
                <w:sz w:val="24"/>
              </w:rPr>
              <w:t>We have proposed to continue with a retainer arrangement with Mike Day of the Goodin McBride firm.   This retainer is different than that used in 2000.  In 2000, (1) we had a $5,000/month retainer to work on hydro matters—this was converted to a general retainer for legislative work including the Williamson Act; and (2) a $3,500/month general retainer for general counseling (</w:t>
            </w:r>
            <w:r>
              <w:rPr>
                <w:i/>
                <w:sz w:val="24"/>
              </w:rPr>
              <w:t>e.g.,</w:t>
            </w:r>
            <w:r>
              <w:rPr>
                <w:sz w:val="24"/>
              </w:rPr>
              <w:t xml:space="preserve"> general advice on whether a particular procedure was allowed at the CPUC) </w:t>
            </w:r>
            <w:r>
              <w:rPr>
                <w:b/>
                <w:sz w:val="24"/>
              </w:rPr>
              <w:t>and</w:t>
            </w:r>
            <w:r>
              <w:rPr>
                <w:sz w:val="24"/>
              </w:rPr>
              <w:t xml:space="preserve"> legislative work that was not hydro.  For 2001, we are proposing:  (1)a $5,000/month retainer for general advice and non-restructuring legislative matters; (2) that we visit the question of a retainer or fixed fee arrangement for restructuring legislation once we see what the legislature produces in January; and (3) we propose the fixed fee new retainer through the RCR process.</w:t>
            </w:r>
          </w:p>
          <w:p>
            <w:pPr>
              <w:pStyle w:val="Normal"/>
              <w:numPr>
                <w:ilvl w:val="0"/>
                <w:numId w:val="2"/>
              </w:numPr>
              <w:rPr>
                <w:sz w:val="24"/>
              </w:rPr>
            </w:pPr>
            <w:r>
              <w:rPr>
                <w:sz w:val="24"/>
              </w:rPr>
              <w:t xml:space="preserve">We have also proposed a continuation of the Arter &amp; Hadden retainer—for reviewing tariff advice letters.  Given the loss of Bruno Gaillard, this retainer remains important to our ability to keep EES informed of tariff changes and other matters affecting their book.  We note that New Power Company may propose sharing the costs of this retainer with Enron.  </w:t>
            </w:r>
          </w:p>
          <w:p>
            <w:pPr>
              <w:pStyle w:val="Normal"/>
              <w:numPr>
                <w:ilvl w:val="0"/>
                <w:numId w:val="2"/>
              </w:numPr>
              <w:rPr>
                <w:sz w:val="24"/>
              </w:rPr>
            </w:pPr>
            <w:r>
              <w:rPr>
                <w:sz w:val="24"/>
              </w:rPr>
              <w:t>We have proposed to again retain both Governmental Advocates and Lang Hanson.  The budgeted amounts for these two firms have increased to reflect an increase in their monthly retainers--$500/month for Governmental Advocates and $3,500/month for Lang Hanson.</w:t>
            </w:r>
          </w:p>
          <w:p>
            <w:pPr>
              <w:pStyle w:val="Normal"/>
              <w:numPr>
                <w:ilvl w:val="0"/>
                <w:numId w:val="2"/>
              </w:numPr>
              <w:rPr>
                <w:sz w:val="24"/>
              </w:rPr>
            </w:pPr>
            <w:r>
              <w:rPr>
                <w:sz w:val="24"/>
              </w:rPr>
              <w:t xml:space="preserve">We have proposed a continuation of the 2000 budget for contributions ($135,000).  As indicated in our strategy memorandum, if it is necessary to hold the budget for California legislative matters at 2000 levels we recommend accommodating the increase in the retainers for the two lobbying firms by decreasing the political contributions budget.  </w:t>
            </w:r>
          </w:p>
          <w:p>
            <w:pPr>
              <w:pStyle w:val="Normal"/>
              <w:numPr>
                <w:ilvl w:val="0"/>
                <w:numId w:val="2"/>
              </w:numPr>
              <w:rPr>
                <w:sz w:val="24"/>
              </w:rPr>
            </w:pPr>
            <w:r>
              <w:rPr>
                <w:sz w:val="24"/>
              </w:rPr>
              <w:t>We have proposed a continuation of our membership in CFEE.  Included in the budget is $10,000 for the annual legislative trip.   We welcome a discussion of the value of CFEE.   Note that CFEE membership was not included in the California/Western States budget last year.  We understand that it had originally been accommodated in Terry Thorne’s 2000 budget.</w:t>
            </w:r>
          </w:p>
          <w:p>
            <w:pPr>
              <w:pStyle w:val="Normal"/>
              <w:numPr>
                <w:ilvl w:val="0"/>
                <w:numId w:val="2"/>
              </w:numPr>
              <w:rPr>
                <w:sz w:val="24"/>
              </w:rPr>
            </w:pPr>
            <w:r>
              <w:rPr>
                <w:sz w:val="24"/>
              </w:rPr>
              <w:t xml:space="preserve">Under separate cover we will forward a discussion of each of our proposed coalition memberships.  </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Colorado</w:t>
            </w:r>
          </w:p>
        </w:tc>
        <w:tc>
          <w:tcPr>
            <w:tcW w:w="101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We will terminate our retainer with Kirscht &amp; Associates this year.  We propose to continue our membership in the CIEA.  Note that ENA has executed a contract to construct and operate a peaking facility for PSCo.</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Idaho.</w:t>
            </w:r>
          </w:p>
        </w:tc>
        <w:tc>
          <w:tcPr>
            <w:tcW w:w="101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 budget.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Montana</w:t>
            </w:r>
          </w:p>
        </w:tc>
        <w:tc>
          <w:tcPr>
            <w:tcW w:w="101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 budget.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Nevada</w:t>
            </w:r>
          </w:p>
        </w:tc>
        <w:tc>
          <w:tcPr>
            <w:tcW w:w="101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Given that our sale of PGE will likely continue into 2001, we are proposing a continuation of our relatively active presence in Nevada.  While Nevada remains a Category A state, we are proposing a relatively modest level of political contributions.  Note that no contributions can be given while the legislature is in session.  As the sale of PGE should close prior to the end of the legislative session, we may substantially reduce our level of activity in Nevada before year end.  Note that we also have an interest in two cogeneration facilities in Nevada and are constructing a build-out of one of these QFs.  Our interest in these facilities is currently on the market.</w:t>
            </w:r>
          </w:p>
          <w:p>
            <w:pPr>
              <w:pStyle w:val="Normal"/>
              <w:rPr>
                <w:sz w:val="24"/>
              </w:rPr>
            </w:pPr>
            <w:r>
              <w:rPr>
                <w:sz w:val="24"/>
              </w:rPr>
            </w:r>
          </w:p>
          <w:p>
            <w:pPr>
              <w:pStyle w:val="Normal"/>
              <w:rPr>
                <w:sz w:val="24"/>
              </w:rPr>
            </w:pPr>
            <w:r>
              <w:rPr>
                <w:sz w:val="24"/>
              </w:rPr>
              <w:t>The amount identified for Sam McMullen through the end of the legislative session has already been approved through the RCR process.</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New Mexico</w:t>
            </w:r>
          </w:p>
        </w:tc>
        <w:tc>
          <w:tcPr>
            <w:tcW w:w="101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 budget.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Oregon</w:t>
            </w:r>
          </w:p>
        </w:tc>
        <w:tc>
          <w:tcPr>
            <w:tcW w:w="101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 budget.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Utah </w:t>
            </w:r>
          </w:p>
        </w:tc>
        <w:tc>
          <w:tcPr>
            <w:tcW w:w="101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 budget.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Washington</w:t>
            </w:r>
          </w:p>
        </w:tc>
        <w:tc>
          <w:tcPr>
            <w:tcW w:w="101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 budget.  Note that we are in the process of planning a peaking facility at the Port of Longview.  We may seek support for this project through the RCR process.</w:t>
            </w:r>
          </w:p>
        </w:tc>
      </w:tr>
      <w:tr>
        <w:trPr>
          <w:trHeight w:val="638" w:hRule="atLeast"/>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Wyoming</w:t>
            </w:r>
          </w:p>
        </w:tc>
        <w:tc>
          <w:tcPr>
            <w:tcW w:w="101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No budget.  We understand that ENA’s interest in Wyoming gathering facilities has substantially decreased.  </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Employee Expense—Club Dues</w:t>
            </w:r>
          </w:p>
        </w:tc>
        <w:tc>
          <w:tcPr>
            <w:tcW w:w="101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Proposed budget:  $12,000/year.  To accommodate potential club membership for GA in Portland after sale of PGE and potential replacement health club benefits for San Francisco and Portland Office employees.</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Course Registration Fees, Tuition</w:t>
            </w:r>
          </w:p>
        </w:tc>
        <w:tc>
          <w:tcPr>
            <w:tcW w:w="10170" w:type="dxa"/>
            <w:tcBorders>
              <w:top w:val="single" w:sz="4" w:space="0" w:color="000000"/>
              <w:start w:val="single" w:sz="4" w:space="0" w:color="000000"/>
              <w:bottom w:val="single" w:sz="4" w:space="0" w:color="000000"/>
              <w:end w:val="single" w:sz="4" w:space="0" w:color="000000"/>
            </w:tcBorders>
          </w:tcPr>
          <w:p>
            <w:pPr>
              <w:pStyle w:val="Normal"/>
              <w:rPr/>
            </w:pPr>
            <w:r>
              <w:rPr>
                <w:sz w:val="24"/>
              </w:rPr>
              <w:t xml:space="preserve">Proposed budget $16,000/year.  To accommodate CLE courses for Mary Hain and Paul Kaufman and cost of coursework towards a BS for Marcie Milner.  </w:t>
            </w:r>
            <w:r>
              <w:rPr>
                <w:b/>
                <w:sz w:val="24"/>
              </w:rPr>
              <w:t>I did not include cost of Jeff Dasovich MBA program on the assumption that this was allocated to Rick Shapiro’s R.C.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Group Meals &amp; Entertainment</w:t>
            </w:r>
          </w:p>
        </w:tc>
        <w:tc>
          <w:tcPr>
            <w:tcW w:w="101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Proposed budget:  $24,000.  To accommodate meals, etc. for meetings of GA in Western States as well as San Francisco Office Christmas Party.   I have not budgeted for this in past years.  </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Client Meals &amp; Entertainment</w:t>
            </w:r>
          </w:p>
        </w:tc>
        <w:tc>
          <w:tcPr>
            <w:tcW w:w="101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Proposed budget:  $15,000.  This amount reflects the estimated SAP allocations to this account number for 2000.  No amount has been budgeted for this in past years.</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Employee Professional Membership Dues</w:t>
            </w:r>
          </w:p>
        </w:tc>
        <w:tc>
          <w:tcPr>
            <w:tcW w:w="101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Proposed budget:  $3,500.  To accommodate Mary Hain and Paul Kaufman bar and bar related memberships.  </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Employee Travel &amp; Lodging</w:t>
            </w:r>
          </w:p>
        </w:tc>
        <w:tc>
          <w:tcPr>
            <w:tcW w:w="101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Proposed budget:  $324,000.  To accommodate projected increased travel for Jeff Dasovich and Paul Kaufman in 2001.</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General Business—Communication Expense</w:t>
            </w:r>
          </w:p>
        </w:tc>
        <w:tc>
          <w:tcPr>
            <w:tcW w:w="101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Proposed budget:  $24,000.  Reflects SAP allocations to this account.  Prior budgets did not reflect an amount for this matter.</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Computer Expenses</w:t>
            </w:r>
          </w:p>
        </w:tc>
        <w:tc>
          <w:tcPr>
            <w:tcW w:w="101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Proposed budget:  $12,000.  Expectation is that two laptops will be replaced in 2001. </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Subscriptions and Publications</w:t>
            </w:r>
          </w:p>
        </w:tc>
        <w:tc>
          <w:tcPr>
            <w:tcW w:w="101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Proposed Budget:  $6,000.  This is a slight increase over the estimated I developed from actual costs.  I expect that we will maintain the same number and variety of subscriptions we currently have in place.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Supplies and Expenses.</w:t>
            </w:r>
          </w:p>
        </w:tc>
        <w:tc>
          <w:tcPr>
            <w:tcW w:w="101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Proposed budget:  $95,000.  This number reflects the projected expense for 2000.</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Rent Expense</w:t>
            </w:r>
          </w:p>
        </w:tc>
        <w:tc>
          <w:tcPr>
            <w:tcW w:w="101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Projected Budget:  $264,000.  This number reflects a 2-3% increase over the budgeted amount for 2000.</w:t>
            </w:r>
          </w:p>
        </w:tc>
      </w:tr>
    </w:tbl>
    <w:p>
      <w:pPr>
        <w:pStyle w:val="Normal"/>
        <w:rPr>
          <w:sz w:val="24"/>
        </w:rPr>
      </w:pPr>
      <w:r>
        <w:rPr>
          <w:sz w:val="24"/>
        </w:rPr>
      </w:r>
    </w:p>
    <w:sectPr>
      <w:type w:val="nextPage"/>
      <w:pgSz w:orient="landscape" w:w="15840" w:h="12240"/>
      <w:pgMar w:left="1440" w:right="1440" w:gutter="0" w:header="0" w:top="180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u w:val="single"/>
    </w:rPr>
  </w:style>
  <w:style w:type="paragraph" w:styleId="Heading2">
    <w:name w:val="heading 2"/>
    <w:basedOn w:val="Normal"/>
    <w:next w:val="Normal"/>
    <w:qFormat/>
    <w:pPr>
      <w:keepNext w:val="true"/>
      <w:numPr>
        <w:ilvl w:val="1"/>
        <w:numId w:val="1"/>
      </w:numPr>
      <w:outlineLvl w:val="1"/>
    </w:pPr>
    <w:rPr>
      <w:b/>
      <w:sz w:val="24"/>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2000-10-27T21:32:00Z</dcterms:created>
  <dc:creator>pkaufma</dc:creator>
  <dc:description/>
  <dc:language>en-CA</dc:language>
  <cp:lastModifiedBy>pkaufma</cp:lastModifiedBy>
  <cp:lastPrinted>2000-08-07T10:41:00Z</cp:lastPrinted>
  <dcterms:modified xsi:type="dcterms:W3CDTF">2000-10-27T21:32:00Z</dcterms:modified>
  <cp:revision>2</cp:revision>
  <dc:subject/>
  <dc:title>Budget Explanation for California/West</dc:title>
</cp:coreProperties>
</file>