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Conference Call Agenda</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numPr>
          <w:ilvl w:val="0"/>
          <w:numId w:val="1"/>
        </w:numPr>
        <w:rPr>
          <w:sz w:val="24"/>
        </w:rPr>
      </w:pPr>
      <w:r>
        <w:rPr>
          <w:sz w:val="24"/>
        </w:rPr>
        <w:t>PR—Message Points (Karen Denne, Jeff Dasovich)</w:t>
      </w:r>
    </w:p>
    <w:p>
      <w:pPr>
        <w:pStyle w:val="Normal"/>
        <w:rPr>
          <w:sz w:val="24"/>
        </w:rPr>
      </w:pPr>
      <w:r>
        <w:rPr>
          <w:sz w:val="24"/>
        </w:rPr>
      </w:r>
    </w:p>
    <w:p>
      <w:pPr>
        <w:pStyle w:val="Normal"/>
        <w:numPr>
          <w:ilvl w:val="1"/>
          <w:numId w:val="1"/>
        </w:numPr>
        <w:rPr>
          <w:sz w:val="24"/>
        </w:rPr>
      </w:pPr>
      <w:r>
        <w:rPr>
          <w:sz w:val="24"/>
        </w:rPr>
        <w:t>Overall Strategy:  Limit comments/limit exposure prior to election.  Focus inquiry on reply comments that will be filed 10.9.00.</w:t>
      </w:r>
    </w:p>
    <w:p>
      <w:pPr>
        <w:pStyle w:val="Normal"/>
        <w:rPr>
          <w:sz w:val="24"/>
        </w:rPr>
      </w:pPr>
      <w:r>
        <w:rPr>
          <w:sz w:val="24"/>
        </w:rPr>
      </w:r>
    </w:p>
    <w:p>
      <w:pPr>
        <w:pStyle w:val="Normal"/>
        <w:numPr>
          <w:ilvl w:val="1"/>
          <w:numId w:val="1"/>
        </w:numPr>
        <w:rPr>
          <w:sz w:val="24"/>
        </w:rPr>
      </w:pPr>
      <w:r>
        <w:rPr>
          <w:sz w:val="24"/>
        </w:rPr>
        <w:t xml:space="preserve">General Message:  </w:t>
      </w:r>
    </w:p>
    <w:p>
      <w:pPr>
        <w:pStyle w:val="Normal"/>
        <w:numPr>
          <w:ilvl w:val="2"/>
          <w:numId w:val="1"/>
        </w:numPr>
        <w:rPr>
          <w:sz w:val="24"/>
        </w:rPr>
      </w:pPr>
      <w:r>
        <w:rPr>
          <w:sz w:val="24"/>
        </w:rPr>
        <w:t>“</w:t>
      </w:r>
      <w:r>
        <w:rPr>
          <w:sz w:val="24"/>
        </w:rPr>
        <w:t xml:space="preserve">We have just received FERC’s ruling and are analyzing the implications.  </w:t>
      </w:r>
    </w:p>
    <w:p>
      <w:pPr>
        <w:pStyle w:val="Normal"/>
        <w:numPr>
          <w:ilvl w:val="2"/>
          <w:numId w:val="1"/>
        </w:numPr>
        <w:rPr>
          <w:sz w:val="24"/>
        </w:rPr>
      </w:pPr>
      <w:r>
        <w:rPr>
          <w:sz w:val="24"/>
        </w:rPr>
        <w:t xml:space="preserve">We fully intend to participate in the Commission’s process by filing reply comments and participating in any technical conferences or other meetings sponsored by the Commission.  </w:t>
      </w:r>
    </w:p>
    <w:p>
      <w:pPr>
        <w:pStyle w:val="Normal"/>
        <w:numPr>
          <w:ilvl w:val="2"/>
          <w:numId w:val="1"/>
        </w:numPr>
        <w:rPr>
          <w:sz w:val="24"/>
        </w:rPr>
      </w:pPr>
      <w:r>
        <w:rPr>
          <w:sz w:val="24"/>
        </w:rPr>
        <w:t xml:space="preserve">Enron believes that the Commission is the right place to resolve these issues and to that end has proposed a number of fixes to the California market (and markets in general) in a white paper produced by Carl Imparato and Seabron Adamson.  </w:t>
      </w:r>
    </w:p>
    <w:p>
      <w:pPr>
        <w:pStyle w:val="Normal"/>
        <w:numPr>
          <w:ilvl w:val="2"/>
          <w:numId w:val="1"/>
        </w:numPr>
        <w:rPr>
          <w:sz w:val="24"/>
        </w:rPr>
      </w:pPr>
      <w:r>
        <w:rPr>
          <w:sz w:val="24"/>
        </w:rPr>
        <w:t xml:space="preserve">We intend to continue to push for the market reforms identified by in this white paper.” </w:t>
      </w:r>
    </w:p>
    <w:p>
      <w:pPr>
        <w:pStyle w:val="Normal"/>
        <w:rPr>
          <w:sz w:val="24"/>
        </w:rPr>
      </w:pPr>
      <w:r>
        <w:rPr>
          <w:sz w:val="24"/>
        </w:rPr>
      </w:r>
    </w:p>
    <w:p>
      <w:pPr>
        <w:pStyle w:val="Normal"/>
        <w:numPr>
          <w:ilvl w:val="1"/>
          <w:numId w:val="1"/>
        </w:numPr>
        <w:rPr>
          <w:sz w:val="24"/>
        </w:rPr>
      </w:pPr>
      <w:r>
        <w:rPr>
          <w:sz w:val="24"/>
        </w:rPr>
        <w:t>Worst Case Messaging:</w:t>
      </w:r>
    </w:p>
    <w:p>
      <w:pPr>
        <w:pStyle w:val="Normal"/>
        <w:ind w:start="360" w:end="0"/>
        <w:rPr>
          <w:sz w:val="24"/>
        </w:rPr>
      </w:pPr>
      <w:r>
        <w:rPr>
          <w:sz w:val="24"/>
        </w:rPr>
      </w:r>
    </w:p>
    <w:p>
      <w:pPr>
        <w:pStyle w:val="Normal"/>
        <w:numPr>
          <w:ilvl w:val="2"/>
          <w:numId w:val="1"/>
        </w:numPr>
        <w:rPr>
          <w:sz w:val="24"/>
        </w:rPr>
      </w:pPr>
      <w:r>
        <w:rPr>
          <w:sz w:val="24"/>
        </w:rPr>
        <w:t>Price caps for entire WSCC.  “We understand the concerns that are created by the high prices this summer in California markets and the WSCC.  However, we think price caps are a blunt instrument that will create more harm than good.  We need new supply in the West.  Price caps will provide a disincentive to new supply. We intend to more fully respond to FERC’s recommendation in our comments”</w:t>
      </w:r>
    </w:p>
    <w:p>
      <w:pPr>
        <w:pStyle w:val="Normal"/>
        <w:numPr>
          <w:ilvl w:val="2"/>
          <w:numId w:val="1"/>
        </w:numPr>
        <w:rPr>
          <w:sz w:val="24"/>
        </w:rPr>
      </w:pPr>
      <w:r>
        <w:rPr>
          <w:sz w:val="24"/>
        </w:rPr>
        <w:t xml:space="preserve">Retroactive collection of dollars.  “We strongly oppose the Commission’s decision to seek a retroactive collection of alleged overpayments.  Action taken to address California’s market pricing should be forward looking and address concerns with the future market. We intend to more fully respond to FERC’s recommendation in our comments” </w:t>
      </w:r>
    </w:p>
    <w:p>
      <w:pPr>
        <w:pStyle w:val="Normal"/>
        <w:numPr>
          <w:ilvl w:val="2"/>
          <w:numId w:val="1"/>
        </w:numPr>
        <w:rPr>
          <w:sz w:val="24"/>
        </w:rPr>
      </w:pPr>
      <w:r>
        <w:rPr>
          <w:sz w:val="24"/>
        </w:rPr>
        <w:t xml:space="preserve"> </w:t>
      </w:r>
      <w:r>
        <w:rPr>
          <w:sz w:val="24"/>
        </w:rPr>
        <w:t>Cost-based rates across the WSCC.  “We think that FERC’s decision to impose cost-based caps in the absence of any proof that a market participant has market power is overreaching and unnecessary.  We intend to more fully respond to FERC’s recommendation in our comments.”</w:t>
      </w:r>
    </w:p>
    <w:p>
      <w:pPr>
        <w:pStyle w:val="Normal"/>
        <w:rPr>
          <w:sz w:val="24"/>
        </w:rPr>
      </w:pPr>
      <w:r>
        <w:rPr>
          <w:sz w:val="24"/>
        </w:rPr>
      </w:r>
    </w:p>
    <w:p>
      <w:pPr>
        <w:pStyle w:val="Normal"/>
        <w:numPr>
          <w:ilvl w:val="0"/>
          <w:numId w:val="1"/>
        </w:numPr>
        <w:rPr>
          <w:sz w:val="24"/>
        </w:rPr>
      </w:pPr>
      <w:r>
        <w:rPr>
          <w:sz w:val="24"/>
        </w:rPr>
        <w:t>Legislative—Sacramento (Sandi McCubbin, Jeff Dasovich)</w:t>
      </w:r>
    </w:p>
    <w:p>
      <w:pPr>
        <w:pStyle w:val="Normal"/>
        <w:rPr>
          <w:sz w:val="24"/>
        </w:rPr>
      </w:pPr>
      <w:r>
        <w:rPr>
          <w:sz w:val="24"/>
        </w:rPr>
      </w:r>
    </w:p>
    <w:p>
      <w:pPr>
        <w:pStyle w:val="Normal"/>
        <w:numPr>
          <w:ilvl w:val="1"/>
          <w:numId w:val="1"/>
        </w:numPr>
        <w:rPr>
          <w:sz w:val="24"/>
        </w:rPr>
      </w:pPr>
      <w:r>
        <w:rPr>
          <w:sz w:val="24"/>
        </w:rPr>
        <w:t xml:space="preserve">Overall Strategy:  Limit comments/limit exposure prior to election. </w:t>
      </w:r>
    </w:p>
    <w:p>
      <w:pPr>
        <w:pStyle w:val="Normal"/>
        <w:ind w:start="360" w:end="0"/>
        <w:rPr>
          <w:sz w:val="24"/>
        </w:rPr>
      </w:pPr>
      <w:r>
        <w:rPr>
          <w:sz w:val="24"/>
        </w:rPr>
      </w:r>
    </w:p>
    <w:p>
      <w:pPr>
        <w:pStyle w:val="Normal"/>
        <w:numPr>
          <w:ilvl w:val="1"/>
          <w:numId w:val="1"/>
        </w:numPr>
        <w:rPr>
          <w:sz w:val="24"/>
        </w:rPr>
      </w:pPr>
      <w:r>
        <w:rPr>
          <w:sz w:val="24"/>
        </w:rPr>
        <w:t>General Message:  We’re going to participate in the FERC process and are encouraged (discouraged)</w:t>
      </w:r>
    </w:p>
    <w:p>
      <w:pPr>
        <w:pStyle w:val="Normal"/>
        <w:rPr>
          <w:sz w:val="24"/>
        </w:rPr>
      </w:pPr>
      <w:r>
        <w:rPr>
          <w:sz w:val="24"/>
        </w:rPr>
      </w:r>
    </w:p>
    <w:p>
      <w:pPr>
        <w:pStyle w:val="Normal"/>
        <w:numPr>
          <w:ilvl w:val="1"/>
          <w:numId w:val="1"/>
        </w:numPr>
        <w:rPr>
          <w:sz w:val="24"/>
        </w:rPr>
      </w:pPr>
      <w:r>
        <w:rPr>
          <w:sz w:val="24"/>
        </w:rPr>
        <w:t>Outreach:</w:t>
      </w:r>
    </w:p>
    <w:p>
      <w:pPr>
        <w:pStyle w:val="Normal"/>
        <w:rPr>
          <w:sz w:val="24"/>
        </w:rPr>
      </w:pPr>
      <w:r>
        <w:rPr>
          <w:sz w:val="24"/>
        </w:rPr>
      </w:r>
    </w:p>
    <w:p>
      <w:pPr>
        <w:pStyle w:val="Normal"/>
        <w:numPr>
          <w:ilvl w:val="2"/>
          <w:numId w:val="1"/>
        </w:numPr>
        <w:rPr>
          <w:sz w:val="24"/>
        </w:rPr>
      </w:pPr>
      <w:r>
        <w:rPr>
          <w:sz w:val="24"/>
        </w:rPr>
        <w:t>Rod Wright?</w:t>
      </w:r>
    </w:p>
    <w:p>
      <w:pPr>
        <w:pStyle w:val="Normal"/>
        <w:numPr>
          <w:ilvl w:val="2"/>
          <w:numId w:val="1"/>
        </w:numPr>
        <w:rPr>
          <w:sz w:val="24"/>
        </w:rPr>
      </w:pPr>
      <w:r>
        <w:rPr>
          <w:sz w:val="24"/>
        </w:rPr>
        <w:t>Steve Peace?</w:t>
      </w:r>
    </w:p>
    <w:p>
      <w:pPr>
        <w:pStyle w:val="Normal"/>
        <w:ind w:start="720" w:end="0"/>
        <w:rPr>
          <w:sz w:val="24"/>
        </w:rPr>
      </w:pPr>
      <w:r>
        <w:rPr>
          <w:sz w:val="24"/>
        </w:rPr>
      </w:r>
    </w:p>
    <w:p>
      <w:pPr>
        <w:pStyle w:val="Normal"/>
        <w:numPr>
          <w:ilvl w:val="0"/>
          <w:numId w:val="1"/>
        </w:numPr>
        <w:rPr>
          <w:sz w:val="24"/>
        </w:rPr>
      </w:pPr>
      <w:r>
        <w:rPr>
          <w:sz w:val="24"/>
        </w:rPr>
        <w:t>Legislative—D.C. (Cynthia Sandherr, Steve Kean)</w:t>
      </w:r>
    </w:p>
    <w:p>
      <w:pPr>
        <w:pStyle w:val="Normal"/>
        <w:rPr>
          <w:sz w:val="24"/>
        </w:rPr>
      </w:pPr>
      <w:r>
        <w:rPr>
          <w:sz w:val="24"/>
        </w:rPr>
      </w:r>
    </w:p>
    <w:p>
      <w:pPr>
        <w:pStyle w:val="Normal"/>
        <w:numPr>
          <w:ilvl w:val="1"/>
          <w:numId w:val="1"/>
        </w:numPr>
        <w:rPr>
          <w:sz w:val="24"/>
        </w:rPr>
      </w:pPr>
      <w:r>
        <w:rPr>
          <w:sz w:val="24"/>
        </w:rPr>
        <w:t>Overall Strategy:  Limit comments/limit exposure prior to election.</w:t>
      </w:r>
    </w:p>
    <w:p>
      <w:pPr>
        <w:pStyle w:val="Normal"/>
        <w:ind w:start="360" w:end="0"/>
        <w:rPr>
          <w:sz w:val="24"/>
        </w:rPr>
      </w:pPr>
      <w:r>
        <w:rPr>
          <w:sz w:val="24"/>
        </w:rPr>
      </w:r>
    </w:p>
    <w:p>
      <w:pPr>
        <w:pStyle w:val="Normal"/>
        <w:numPr>
          <w:ilvl w:val="1"/>
          <w:numId w:val="1"/>
        </w:numPr>
        <w:rPr>
          <w:sz w:val="24"/>
        </w:rPr>
      </w:pPr>
      <w:r>
        <w:rPr>
          <w:sz w:val="24"/>
        </w:rPr>
        <w:t xml:space="preserve">General Message:  We’re going to participate in the FERC process and are encouraged (discouraged).  They are the right forum for resolving these issues.  They have taken the right (wrong) approach.  </w:t>
      </w:r>
    </w:p>
    <w:p>
      <w:pPr>
        <w:pStyle w:val="Normal"/>
        <w:rPr>
          <w:sz w:val="24"/>
        </w:rPr>
      </w:pPr>
      <w:r>
        <w:rPr>
          <w:sz w:val="24"/>
        </w:rPr>
      </w:r>
    </w:p>
    <w:p>
      <w:pPr>
        <w:pStyle w:val="Normal"/>
        <w:numPr>
          <w:ilvl w:val="2"/>
          <w:numId w:val="1"/>
        </w:numPr>
        <w:rPr>
          <w:sz w:val="24"/>
        </w:rPr>
      </w:pPr>
      <w:r>
        <w:rPr>
          <w:sz w:val="24"/>
        </w:rPr>
        <w:t xml:space="preserve">They were judicious (outrageous).   We have recommendations for fixing the problem and will prosecute them before the agency, but some action may be necessary by Congress to fix this problem.  </w:t>
      </w:r>
    </w:p>
    <w:p>
      <w:pPr>
        <w:pStyle w:val="Normal"/>
        <w:rPr>
          <w:sz w:val="24"/>
        </w:rPr>
      </w:pPr>
      <w:r>
        <w:rPr>
          <w:sz w:val="24"/>
        </w:rPr>
      </w:r>
    </w:p>
    <w:p>
      <w:pPr>
        <w:pStyle w:val="Normal"/>
        <w:numPr>
          <w:ilvl w:val="1"/>
          <w:numId w:val="1"/>
        </w:numPr>
        <w:rPr>
          <w:sz w:val="24"/>
        </w:rPr>
      </w:pPr>
      <w:r>
        <w:rPr>
          <w:sz w:val="24"/>
        </w:rPr>
        <w:t>Outreach plan?  Broad or narrow?</w:t>
      </w:r>
    </w:p>
    <w:p>
      <w:pPr>
        <w:pStyle w:val="Normal"/>
        <w:ind w:start="360" w:end="0"/>
        <w:rPr>
          <w:sz w:val="24"/>
        </w:rPr>
      </w:pPr>
      <w:r>
        <w:rPr>
          <w:sz w:val="24"/>
        </w:rPr>
      </w:r>
    </w:p>
    <w:p>
      <w:pPr>
        <w:pStyle w:val="Normal"/>
        <w:numPr>
          <w:ilvl w:val="2"/>
          <w:numId w:val="1"/>
        </w:numPr>
        <w:rPr>
          <w:sz w:val="24"/>
        </w:rPr>
      </w:pPr>
      <w:r>
        <w:rPr>
          <w:sz w:val="24"/>
        </w:rPr>
        <w:t>Barton?</w:t>
      </w:r>
    </w:p>
    <w:p>
      <w:pPr>
        <w:pStyle w:val="Normal"/>
        <w:numPr>
          <w:ilvl w:val="2"/>
          <w:numId w:val="1"/>
        </w:numPr>
        <w:rPr>
          <w:sz w:val="24"/>
        </w:rPr>
      </w:pPr>
      <w:r>
        <w:rPr>
          <w:sz w:val="24"/>
        </w:rPr>
        <w:t>Murkowski?</w:t>
      </w:r>
    </w:p>
    <w:p>
      <w:pPr>
        <w:pStyle w:val="Normal"/>
        <w:numPr>
          <w:ilvl w:val="2"/>
          <w:numId w:val="1"/>
        </w:numPr>
        <w:rPr>
          <w:sz w:val="24"/>
        </w:rPr>
      </w:pPr>
      <w:r>
        <w:rPr>
          <w:sz w:val="24"/>
        </w:rPr>
        <w:t>DeLay?</w:t>
      </w:r>
    </w:p>
    <w:p>
      <w:pPr>
        <w:pStyle w:val="Normal"/>
        <w:numPr>
          <w:ilvl w:val="2"/>
          <w:numId w:val="1"/>
        </w:numPr>
        <w:rPr>
          <w:sz w:val="24"/>
        </w:rPr>
      </w:pPr>
      <w:r>
        <w:rPr>
          <w:sz w:val="24"/>
        </w:rPr>
        <w:t>Smith?</w:t>
      </w:r>
    </w:p>
    <w:p>
      <w:pPr>
        <w:pStyle w:val="Normal"/>
        <w:numPr>
          <w:ilvl w:val="2"/>
          <w:numId w:val="1"/>
        </w:numPr>
        <w:rPr>
          <w:sz w:val="24"/>
        </w:rPr>
      </w:pPr>
      <w:r>
        <w:rPr>
          <w:sz w:val="24"/>
        </w:rPr>
        <w:t>Wyden?</w:t>
      </w:r>
    </w:p>
    <w:p>
      <w:pPr>
        <w:pStyle w:val="Normal"/>
        <w:rPr>
          <w:sz w:val="24"/>
        </w:rPr>
      </w:pPr>
      <w:r>
        <w:rPr>
          <w:sz w:val="24"/>
        </w:rPr>
      </w:r>
    </w:p>
    <w:p>
      <w:pPr>
        <w:pStyle w:val="Normal"/>
        <w:numPr>
          <w:ilvl w:val="0"/>
          <w:numId w:val="1"/>
        </w:numPr>
        <w:rPr>
          <w:sz w:val="24"/>
        </w:rPr>
      </w:pPr>
      <w:r>
        <w:rPr>
          <w:sz w:val="24"/>
        </w:rPr>
        <w:t>Legal—FERC (Mary Hain, Joe Hartsoe)</w:t>
      </w:r>
    </w:p>
    <w:p>
      <w:pPr>
        <w:pStyle w:val="Normal"/>
        <w:rPr>
          <w:sz w:val="24"/>
        </w:rPr>
      </w:pPr>
      <w:r>
        <w:rPr>
          <w:sz w:val="24"/>
        </w:rPr>
      </w:r>
    </w:p>
    <w:p>
      <w:pPr>
        <w:pStyle w:val="Normal"/>
        <w:numPr>
          <w:ilvl w:val="1"/>
          <w:numId w:val="1"/>
        </w:numPr>
        <w:rPr>
          <w:sz w:val="24"/>
        </w:rPr>
      </w:pPr>
      <w:r>
        <w:rPr>
          <w:sz w:val="24"/>
        </w:rPr>
        <w:t>Develop response to November 1 Order?</w:t>
      </w:r>
    </w:p>
    <w:p>
      <w:pPr>
        <w:pStyle w:val="Normal"/>
        <w:ind w:start="360" w:end="0"/>
        <w:rPr>
          <w:sz w:val="24"/>
        </w:rPr>
      </w:pPr>
      <w:r>
        <w:rPr>
          <w:sz w:val="24"/>
        </w:rPr>
      </w:r>
    </w:p>
    <w:p>
      <w:pPr>
        <w:pStyle w:val="Normal"/>
        <w:numPr>
          <w:ilvl w:val="1"/>
          <w:numId w:val="1"/>
        </w:numPr>
        <w:rPr>
          <w:sz w:val="24"/>
        </w:rPr>
      </w:pPr>
      <w:r>
        <w:rPr>
          <w:sz w:val="24"/>
        </w:rPr>
        <w:t>Build Coalition Response through EPSA?</w:t>
      </w:r>
    </w:p>
    <w:p>
      <w:pPr>
        <w:pStyle w:val="Normal"/>
        <w:rPr>
          <w:sz w:val="24"/>
        </w:rPr>
      </w:pPr>
      <w:r>
        <w:rPr>
          <w:sz w:val="24"/>
        </w:rPr>
      </w:r>
    </w:p>
    <w:p>
      <w:pPr>
        <w:pStyle w:val="Normal"/>
        <w:numPr>
          <w:ilvl w:val="1"/>
          <w:numId w:val="1"/>
        </w:numPr>
        <w:rPr>
          <w:sz w:val="24"/>
        </w:rPr>
      </w:pPr>
      <w:r>
        <w:rPr>
          <w:sz w:val="24"/>
        </w:rPr>
        <w:t>Research legality of various retroactive approaches.</w:t>
      </w:r>
    </w:p>
    <w:p>
      <w:pPr>
        <w:pStyle w:val="Normal"/>
        <w:rPr>
          <w:sz w:val="24"/>
        </w:rPr>
      </w:pPr>
      <w:r>
        <w:rPr>
          <w:sz w:val="24"/>
        </w:rPr>
      </w:r>
    </w:p>
    <w:p>
      <w:pPr>
        <w:pStyle w:val="Normal"/>
        <w:numPr>
          <w:ilvl w:val="2"/>
          <w:numId w:val="1"/>
        </w:numPr>
        <w:rPr>
          <w:sz w:val="24"/>
        </w:rPr>
      </w:pPr>
      <w:r>
        <w:rPr>
          <w:sz w:val="24"/>
        </w:rPr>
        <w:t>Procedural remedies/recommendations?</w:t>
      </w:r>
    </w:p>
    <w:p>
      <w:pPr>
        <w:pStyle w:val="Normal"/>
        <w:rPr>
          <w:sz w:val="24"/>
        </w:rPr>
      </w:pPr>
      <w:r>
        <w:rPr>
          <w:sz w:val="24"/>
        </w:rPr>
      </w:r>
    </w:p>
    <w:p>
      <w:pPr>
        <w:pStyle w:val="Normal"/>
        <w:numPr>
          <w:ilvl w:val="1"/>
          <w:numId w:val="1"/>
        </w:numPr>
        <w:rPr>
          <w:sz w:val="24"/>
        </w:rPr>
      </w:pPr>
      <w:r>
        <w:rPr>
          <w:sz w:val="24"/>
        </w:rPr>
        <w:t xml:space="preserve">Court action?  </w:t>
      </w:r>
    </w:p>
    <w:p>
      <w:pPr>
        <w:pStyle w:val="Normal"/>
        <w:ind w:start="360" w:end="0"/>
        <w:rPr>
          <w:sz w:val="24"/>
        </w:rPr>
      </w:pPr>
      <w:r>
        <w:rPr>
          <w:sz w:val="24"/>
        </w:rPr>
      </w:r>
    </w:p>
    <w:p>
      <w:pPr>
        <w:pStyle w:val="Normal"/>
        <w:numPr>
          <w:ilvl w:val="2"/>
          <w:numId w:val="1"/>
        </w:numPr>
        <w:rPr>
          <w:sz w:val="24"/>
        </w:rPr>
      </w:pPr>
      <w:r>
        <w:rPr>
          <w:sz w:val="24"/>
        </w:rPr>
        <w:t xml:space="preserve">Defensive actions:  Declaratory Judgment?  Writ of Prohibition?  Injunction?  </w:t>
      </w:r>
    </w:p>
    <w:p>
      <w:pPr>
        <w:pStyle w:val="Normal"/>
        <w:numPr>
          <w:ilvl w:val="2"/>
          <w:numId w:val="1"/>
        </w:numPr>
        <w:rPr>
          <w:sz w:val="24"/>
        </w:rPr>
      </w:pPr>
      <w:r>
        <w:rPr>
          <w:sz w:val="24"/>
        </w:rPr>
        <w:t>Offensive actions:  litigation against ISO?  PG&amp;E, Edison, SDG&amp;E?</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2000-10-27T13:44:00Z</dcterms:created>
  <dc:creator>pkaufma</dc:creator>
  <dc:description/>
  <dc:language>en-CA</dc:language>
  <cp:lastModifiedBy>pkaufma</cp:lastModifiedBy>
  <dcterms:modified xsi:type="dcterms:W3CDTF">2000-10-27T14:34:00Z</dcterms:modified>
  <cp:revision>1</cp:revision>
  <dc:subject/>
  <dc:title>Conference Call Agenda</dc:title>
</cp:coreProperties>
</file>