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California Strategy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10.30.00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Presentation of 2001 California Strategy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Current Events Review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ISO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CPUC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Investigations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Legislative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FERC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Business Relationships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November 1 Order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Public Affairs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“</w:t>
      </w:r>
      <w:r>
        <w:rPr>
          <w:sz w:val="28"/>
        </w:rPr>
        <w:t>Legal” response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Legislative Briefings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Discussions with Utilities re:  Past Exposure/Future Coverage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Sempra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PG&amp;E</w:t>
      </w:r>
    </w:p>
    <w:p>
      <w:pPr>
        <w:pStyle w:val="Normal"/>
        <w:numPr>
          <w:ilvl w:val="1"/>
          <w:numId w:val="1"/>
        </w:numPr>
        <w:rPr>
          <w:sz w:val="28"/>
        </w:rPr>
      </w:pPr>
      <w:r>
        <w:rPr>
          <w:sz w:val="28"/>
        </w:rPr>
        <w:t>Edison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224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2000-10-26T13:47:00Z</dcterms:created>
  <dc:creator>pkaufma</dc:creator>
  <dc:description/>
  <dc:language>en-CA</dc:language>
  <cp:lastModifiedBy>pkaufma</cp:lastModifiedBy>
  <cp:lastPrinted>2000-10-26T09:40:00Z</cp:lastPrinted>
  <dcterms:modified xsi:type="dcterms:W3CDTF">2000-10-26T14:10:00Z</dcterms:modified>
  <cp:revision>3</cp:revision>
  <dc:subject/>
  <dc:title>Agenda</dc:title>
</cp:coreProperties>
</file>