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DRAFT</w:t>
      </w:r>
    </w:p>
    <w:p>
      <w:pPr>
        <w:pStyle w:val="Heading1"/>
        <w:ind w:hanging="0" w:start="0"/>
        <w:rPr/>
      </w:pPr>
      <w:r>
        <w:rPr/>
        <w:t>Rate Case Plan</w:t>
      </w:r>
    </w:p>
    <w:p>
      <w:pPr>
        <w:pStyle w:val="Normal"/>
        <w:rPr/>
      </w:pPr>
      <w:r>
        <w:rPr/>
      </w:r>
    </w:p>
    <w:p>
      <w:pPr>
        <w:pStyle w:val="Normal"/>
        <w:rPr/>
      </w:pPr>
      <w:r>
        <w:rPr/>
      </w:r>
    </w:p>
    <w:p>
      <w:pPr>
        <w:pStyle w:val="Normal"/>
        <w:rPr/>
      </w:pPr>
      <w:r>
        <w:rPr/>
        <w:t>This plan has several objectives:  (1) to recognize the unbundled nature of PGE’s costs; (2) to use existing rate mechanisms to return to ratepayers the benefits of combining gas procurement and management activities; (3) to provide rate certainty for a period of years, while sharing extraordinary earnings with ratepayers; (4) to create a mechanism that allows the holding company to reach investment grade status within a 5-year period; and (5) to self-finance the transaction.</w:t>
      </w:r>
    </w:p>
    <w:p>
      <w:pPr>
        <w:pStyle w:val="Normal"/>
        <w:rPr/>
      </w:pPr>
      <w:r>
        <w:rPr/>
      </w:r>
    </w:p>
    <w:p>
      <w:pPr>
        <w:pStyle w:val="Normal"/>
        <w:rPr/>
      </w:pPr>
      <w:r>
        <w:rPr/>
        <w:t xml:space="preserve">This plan provides customer benefits over and above the “hold harmless” condition offered by NWN and PGE.   As part of the hold harmless condition, neither PGE nor NWN will pass through to customers “transaction costs.”  </w:t>
      </w:r>
    </w:p>
    <w:p>
      <w:pPr>
        <w:pStyle w:val="Normal"/>
        <w:rPr/>
      </w:pPr>
      <w:r>
        <w:rPr/>
      </w:r>
    </w:p>
    <w:p>
      <w:pPr>
        <w:pStyle w:val="Normal"/>
        <w:rPr/>
      </w:pPr>
      <w:r>
        <w:rPr/>
        <w:t>The rate plan three components:</w:t>
      </w:r>
    </w:p>
    <w:p>
      <w:pPr>
        <w:pStyle w:val="Normal"/>
        <w:rPr/>
      </w:pPr>
      <w:r>
        <w:rPr/>
      </w:r>
    </w:p>
    <w:p>
      <w:pPr>
        <w:pStyle w:val="Normal"/>
        <w:rPr/>
      </w:pPr>
      <w:r>
        <w:rPr>
          <w:b/>
        </w:rPr>
        <w:t>Distribution rates:</w:t>
      </w:r>
      <w:r>
        <w:rPr/>
        <w:t xml:space="preserve">    From closing until six years after closing, PGE not file a general rate case or other request to adjust distribution rates.  PGE will share with customers 50% of the amount by which its annual earnings on distribution exceed its allowed ROE by 300 basis points.  PGE will retain all other savings from its distribution function.</w:t>
      </w:r>
    </w:p>
    <w:p>
      <w:pPr>
        <w:pStyle w:val="Normal"/>
        <w:rPr/>
      </w:pPr>
      <w:r>
        <w:rPr/>
      </w:r>
    </w:p>
    <w:p>
      <w:pPr>
        <w:pStyle w:val="Normal"/>
        <w:rPr/>
      </w:pPr>
      <w:r>
        <w:rPr/>
        <w:t>Six years after closing, PGE will either (1) file a general rate case for the purpose of setting distribution rates, taking into account net savings resulting from the consolidation of activities between NWN and PGE; or (2) file an adjustment tariff reflecting a fixed rate credit of $__/year.  Option (2) does not preclude the Commission from investigating the rates of PGE, should it elect Option (2).</w:t>
      </w:r>
    </w:p>
    <w:p>
      <w:pPr>
        <w:pStyle w:val="Normal"/>
        <w:rPr/>
      </w:pPr>
      <w:r>
        <w:rPr/>
      </w:r>
    </w:p>
    <w:p>
      <w:pPr>
        <w:pStyle w:val="Normal"/>
        <w:rPr/>
      </w:pPr>
      <w:r>
        <w:rPr/>
        <w:t xml:space="preserve">NWN has in place a mechanism to share savings with customers if NWN’s earnings exceed its allowed ROE by more than 300 basis points.  This mechanism will remain in place for the period beginning at closing and ending six years after closing.  </w:t>
      </w:r>
    </w:p>
    <w:p>
      <w:pPr>
        <w:pStyle w:val="Normal"/>
        <w:rPr/>
      </w:pPr>
      <w:r>
        <w:rPr/>
      </w:r>
    </w:p>
    <w:p>
      <w:pPr>
        <w:pStyle w:val="Normal"/>
        <w:rPr/>
      </w:pPr>
      <w:r>
        <w:rPr>
          <w:b/>
        </w:rPr>
        <w:t>Gas Savings</w:t>
      </w:r>
      <w:r>
        <w:rPr/>
        <w:t xml:space="preserve">:  NWN and PGE intend to combine some or all of their gas procurement and gas management functions.  This will produce lower gas costs for both companies.  </w:t>
      </w:r>
    </w:p>
    <w:p>
      <w:pPr>
        <w:pStyle w:val="Normal"/>
        <w:rPr/>
      </w:pPr>
      <w:r>
        <w:rPr/>
      </w:r>
    </w:p>
    <w:p>
      <w:pPr>
        <w:pStyle w:val="Normal"/>
        <w:rPr/>
      </w:pPr>
      <w:r>
        <w:rPr/>
        <w:t xml:space="preserve">PGE will pass through these savings through its current PCA mechanism.  Should the PCA mechanism expire or lapse, PGE will annually track net gas cost savings resulting from the consolidation of NWN and PGE gas procurement and gas management activities.  Absent a PCA, PGE will annually file an adjustment tariff to pass through to net gas cost savings to customers.  </w:t>
      </w:r>
    </w:p>
    <w:p>
      <w:pPr>
        <w:pStyle w:val="Normal"/>
        <w:rPr/>
      </w:pPr>
      <w:r>
        <w:rPr/>
      </w:r>
    </w:p>
    <w:p>
      <w:pPr>
        <w:pStyle w:val="Normal"/>
        <w:rPr/>
      </w:pPr>
      <w:r>
        <w:rPr/>
        <w:t xml:space="preserve">NWN will pass through net savings produced by the consolidation of PGE and NWN gas procurement and management activities through its PGA mechanism.  </w:t>
      </w:r>
    </w:p>
    <w:p>
      <w:pPr>
        <w:pStyle w:val="Normal"/>
        <w:rPr/>
      </w:pPr>
      <w:r>
        <w:rPr/>
      </w:r>
    </w:p>
    <w:p>
      <w:pPr>
        <w:pStyle w:val="Normal"/>
        <w:rPr/>
      </w:pPr>
      <w:r>
        <w:rPr>
          <w:b/>
        </w:rPr>
        <w:t xml:space="preserve">Reporting:  </w:t>
      </w:r>
      <w:r>
        <w:rPr/>
        <w:t xml:space="preserve">  For purposes of calculating earnings in their semi-annual reporting, NWN and PGE shall use 2002 costs and will not take into account either the reductions in costs produced by the consolidation of NWN and PGE activities or the costs to produce those savings.  </w:t>
      </w:r>
    </w:p>
    <w:sectPr>
      <w:type w:val="nextPage"/>
      <w:pgSz w:w="12240" w:h="15840"/>
      <w:pgMar w:left="1440" w:right="72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2001-10-25T01:37:00Z</dcterms:created>
  <dc:creator>Paul Kaufman</dc:creator>
  <dc:description/>
  <dc:language>en-CA</dc:language>
  <cp:lastModifiedBy>Paul Kaufman</cp:lastModifiedBy>
  <dcterms:modified xsi:type="dcterms:W3CDTF">2001-10-25T02:07:00Z</dcterms:modified>
  <cp:revision>1</cp:revision>
  <dc:subject/>
  <dc:title>DRAFT</dc:title>
</cp:coreProperties>
</file>