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Message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u w:val="single"/>
        </w:rPr>
      </w:pPr>
      <w:r>
        <w:rPr>
          <w:u w:val="single"/>
        </w:rPr>
        <w:t>Business Activity</w:t>
        <w:br/>
      </w:r>
    </w:p>
    <w:p>
      <w:pPr>
        <w:pStyle w:val="Normal"/>
        <w:numPr>
          <w:ilvl w:val="1"/>
          <w:numId w:val="1"/>
        </w:numPr>
        <w:rPr/>
      </w:pPr>
      <w:r>
        <w:rPr/>
        <w:t>Our core businesses are strong, performing well and customers continue to demonstrate their confidence in us.</w:t>
        <w:br/>
      </w:r>
    </w:p>
    <w:p>
      <w:pPr>
        <w:pStyle w:val="Normal"/>
        <w:numPr>
          <w:ilvl w:val="1"/>
          <w:numId w:val="1"/>
        </w:numPr>
        <w:rPr/>
      </w:pPr>
      <w:r>
        <w:rPr/>
        <w:t>EnronOnline experienced above average levels for both i.) number of external users (i.e. users from other companies) and ii.) number of transactions.</w:t>
        <w:br/>
      </w:r>
    </w:p>
    <w:p>
      <w:pPr>
        <w:pStyle w:val="Normal"/>
        <w:numPr>
          <w:ilvl w:val="2"/>
          <w:numId w:val="1"/>
        </w:numPr>
        <w:rPr/>
      </w:pPr>
      <w:r>
        <w:rPr/>
        <w:t>Yesterday, Enron recorded more than 8000 transactions with 4726 (10/24/01) external users for a gross notional value of approximately $4 billion.</w:t>
      </w:r>
    </w:p>
    <w:p>
      <w:pPr>
        <w:pStyle w:val="Normal"/>
        <w:numPr>
          <w:ilvl w:val="2"/>
          <w:numId w:val="1"/>
        </w:numPr>
        <w:rPr/>
      </w:pPr>
      <w:r>
        <w:rPr/>
        <w:t>We continue to be the market maker of choice in wholesale gas and power.</w:t>
        <w:br/>
      </w:r>
    </w:p>
    <w:p>
      <w:pPr>
        <w:pStyle w:val="Normal"/>
        <w:numPr>
          <w:ilvl w:val="0"/>
          <w:numId w:val="1"/>
        </w:numPr>
        <w:rPr/>
      </w:pPr>
      <w:r>
        <w:rPr>
          <w:u w:val="single"/>
        </w:rPr>
        <w:t>Liquidity</w:t>
      </w:r>
      <w:r>
        <w:rPr/>
        <w:br/>
      </w:r>
    </w:p>
    <w:p>
      <w:pPr>
        <w:pStyle w:val="Normal"/>
        <w:numPr>
          <w:ilvl w:val="1"/>
          <w:numId w:val="1"/>
        </w:numPr>
        <w:rPr/>
      </w:pPr>
      <w:r>
        <w:rPr/>
        <w:t>We continue to have daily access to commercial paper and other money market instruments.</w:t>
        <w:br/>
      </w:r>
    </w:p>
    <w:p>
      <w:pPr>
        <w:pStyle w:val="Normal"/>
        <w:numPr>
          <w:ilvl w:val="1"/>
          <w:numId w:val="1"/>
        </w:numPr>
        <w:rPr/>
      </w:pPr>
      <w:r>
        <w:rPr/>
        <w:t>Enron Commercial paper is at typical levels of approximately $2 billion and is backed by $3.35 billion outstanding in committed revolvers.</w:t>
        <w:br/>
      </w:r>
    </w:p>
    <w:p>
      <w:pPr>
        <w:pStyle w:val="Normal"/>
        <w:numPr>
          <w:ilvl w:val="1"/>
          <w:numId w:val="1"/>
        </w:numPr>
        <w:rPr/>
      </w:pPr>
      <w:r>
        <w:rPr/>
        <w:t>Two of the three rating agencies have affirmed our rating.n  One (Moody’s) has placed our rating under review.  None of the agencies have taken any further action.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"/>
      <w:lvlJc w:val="start"/>
      <w:pPr>
        <w:tabs>
          <w:tab w:val="num" w:pos="1512"/>
        </w:tabs>
        <w:ind w:start="1512" w:hanging="432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-"/>
      <w:lvlJc w:val="start"/>
      <w:pPr>
        <w:tabs>
          <w:tab w:val="num" w:pos="2232"/>
        </w:tabs>
        <w:ind w:start="2232" w:hanging="432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bCs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  <w:color w:val="0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 w:val="fals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2001-10-24T23:53:00Z</dcterms:created>
  <dc:creator>sford</dc:creator>
  <dc:description/>
  <dc:language>en-CA</dc:language>
  <cp:lastModifiedBy>skean</cp:lastModifiedBy>
  <cp:lastPrinted>2001-10-24T21:01:00Z</cp:lastPrinted>
  <dcterms:modified xsi:type="dcterms:W3CDTF">2001-10-24T23:53:00Z</dcterms:modified>
  <cp:revision>2</cp:revision>
  <dc:subject/>
  <dc:title>Message Points</dc:title>
</cp:coreProperties>
</file>