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r>
    </w:p>
    <w:p>
      <w:pPr>
        <w:pStyle w:val="Heading1"/>
        <w:ind w:hanging="0" w:start="0"/>
        <w:rPr/>
      </w:pPr>
      <w:r>
        <w:rPr/>
      </w:r>
    </w:p>
    <w:p>
      <w:pPr>
        <w:pStyle w:val="Heading1"/>
        <w:ind w:hanging="0" w:start="0"/>
        <w:rPr/>
      </w:pPr>
      <w:r>
        <w:rPr/>
      </w:r>
    </w:p>
    <w:p>
      <w:pPr>
        <w:pStyle w:val="Heading1"/>
        <w:ind w:hanging="0" w:start="0"/>
        <w:rPr/>
      </w:pPr>
      <w:r>
        <w:rPr/>
      </w:r>
    </w:p>
    <w:p>
      <w:pPr>
        <w:pStyle w:val="Heading1"/>
        <w:ind w:hanging="0" w:start="0"/>
        <w:rPr/>
      </w:pPr>
      <w:r>
        <w:rPr/>
        <w:t>October 23, 2001</w:t>
      </w:r>
    </w:p>
    <w:p>
      <w:pPr>
        <w:pStyle w:val="Heading1"/>
        <w:ind w:hanging="0" w:start="0"/>
        <w:rPr>
          <w:szCs w:val="24"/>
        </w:rPr>
      </w:pPr>
      <w:r>
        <w:rPr>
          <w:szCs w:val="24"/>
        </w:rPr>
        <w:t> </w:t>
      </w:r>
    </w:p>
    <w:p>
      <w:pPr>
        <w:pStyle w:val="Heading1"/>
        <w:ind w:hanging="0" w:start="0"/>
        <w:rPr>
          <w:szCs w:val="24"/>
        </w:rPr>
      </w:pPr>
      <w:r>
        <w:rPr>
          <w:szCs w:val="24"/>
        </w:rPr>
        <w:t> </w:t>
      </w:r>
    </w:p>
    <w:p>
      <w:pPr>
        <w:pStyle w:val="Heading1"/>
        <w:ind w:hanging="0" w:start="0"/>
        <w:rPr/>
      </w:pPr>
      <w:r>
        <w:rPr/>
        <w:t>The Honorable Frank Murkowski</w:t>
      </w:r>
    </w:p>
    <w:p>
      <w:pPr>
        <w:pStyle w:val="Heading1"/>
        <w:ind w:hanging="0" w:start="0"/>
        <w:rPr/>
      </w:pPr>
      <w:r>
        <w:rPr/>
        <w:t>Ranking Member</w:t>
      </w:r>
    </w:p>
    <w:p>
      <w:pPr>
        <w:pStyle w:val="Normal"/>
        <w:rPr>
          <w:szCs w:val="20"/>
        </w:rPr>
      </w:pPr>
      <w:r>
        <w:rPr/>
        <w:t>Senate Energy and Natural Resources Committee</w:t>
      </w:r>
    </w:p>
    <w:p>
      <w:pPr>
        <w:pStyle w:val="Normal"/>
        <w:rPr>
          <w:szCs w:val="20"/>
        </w:rPr>
      </w:pPr>
      <w:r>
        <w:rPr/>
        <w:t>Washington, D.C. 20510-6150</w:t>
      </w:r>
    </w:p>
    <w:p>
      <w:pPr>
        <w:pStyle w:val="Normal"/>
        <w:rPr>
          <w:szCs w:val="20"/>
        </w:rPr>
      </w:pPr>
      <w:r>
        <w:rPr/>
        <w:t> </w:t>
      </w:r>
    </w:p>
    <w:p>
      <w:pPr>
        <w:pStyle w:val="Normal"/>
        <w:rPr>
          <w:szCs w:val="20"/>
        </w:rPr>
      </w:pPr>
      <w:r>
        <w:rPr/>
        <w:t>Dear Senator Murkowski:</w:t>
      </w:r>
    </w:p>
    <w:p>
      <w:pPr>
        <w:pStyle w:val="Normal"/>
        <w:rPr>
          <w:szCs w:val="20"/>
        </w:rPr>
      </w:pPr>
      <w:r>
        <w:rPr/>
        <w:t> </w:t>
      </w:r>
    </w:p>
    <w:p>
      <w:pPr>
        <w:pStyle w:val="Normal"/>
        <w:rPr>
          <w:szCs w:val="20"/>
        </w:rPr>
      </w:pPr>
      <w:r>
        <w:rPr/>
        <w:t>Thank you for your October 15 letter regarding development of a transportation system for the delivery of Alaska’s North Slope natural gas to markets in the Lower 48.  PG&amp;E Corporation, through one of its subsidiaries, was one of the original partners in the Alaska Natural Gas Transportation System (ANGTS).  Our Pacific Northwest interstate pipeline holds the ANGTS Western-Leg Prebuild certificate from the Federal Energy Regulatory Commission (FERC).</w:t>
      </w:r>
    </w:p>
    <w:p>
      <w:pPr>
        <w:pStyle w:val="Normal"/>
        <w:rPr>
          <w:szCs w:val="20"/>
        </w:rPr>
      </w:pPr>
      <w:r>
        <w:rPr/>
        <w:t> </w:t>
      </w:r>
    </w:p>
    <w:p>
      <w:pPr>
        <w:pStyle w:val="Normal"/>
        <w:rPr>
          <w:szCs w:val="20"/>
        </w:rPr>
      </w:pPr>
      <w:r>
        <w:rPr/>
        <w:t>Our Pacific Northwest and California pipelines are the downstream pipeline systems that will deliver Alaska gas to major natural gas markets throughout the western Lower 48. Our Pacific Northwest pipeline currently has natural gas import capacity of about 2.6 billion cubic feet per day, and additional capacity is being added this year and next.  We have the ability to expand that system capacity to serve growing western natural gas markets through economically competitive projects.</w:t>
      </w:r>
    </w:p>
    <w:p>
      <w:pPr>
        <w:pStyle w:val="Normal"/>
        <w:rPr>
          <w:szCs w:val="20"/>
        </w:rPr>
      </w:pPr>
      <w:r>
        <w:rPr/>
        <w:t> </w:t>
      </w:r>
    </w:p>
    <w:p>
      <w:pPr>
        <w:pStyle w:val="Normal"/>
        <w:rPr>
          <w:szCs w:val="20"/>
        </w:rPr>
      </w:pPr>
      <w:r>
        <w:rPr/>
        <w:t xml:space="preserve">Together with the other original ANGTS partners, we are in active discussions to reinstate the partnership through the re-engagement of the withdrawn parties.  Continued progress on critical issues has been made in these discussions and we are optimistic that we will be able to reach resolution in short order. </w:t>
      </w:r>
    </w:p>
    <w:p>
      <w:pPr>
        <w:pStyle w:val="Normal"/>
        <w:rPr>
          <w:szCs w:val="20"/>
        </w:rPr>
      </w:pPr>
      <w:r>
        <w:rPr/>
        <w:t> </w:t>
      </w:r>
    </w:p>
    <w:p>
      <w:pPr>
        <w:pStyle w:val="Normal"/>
        <w:rPr>
          <w:szCs w:val="20"/>
        </w:rPr>
      </w:pPr>
      <w:r>
        <w:rPr/>
        <w:t xml:space="preserve">As soon as the partnership is reinstated, it is the intent of the partners to begin comprehensive commercial discussions with producers.  Our objective is to present a commercial proposal to the producer community before the end of the year. </w:t>
      </w:r>
    </w:p>
    <w:p>
      <w:pPr>
        <w:pStyle w:val="Normal"/>
        <w:rPr>
          <w:szCs w:val="20"/>
        </w:rPr>
      </w:pPr>
      <w:r>
        <w:rPr/>
        <w:t> </w:t>
      </w:r>
    </w:p>
    <w:p>
      <w:pPr>
        <w:pStyle w:val="Normal"/>
        <w:rPr>
          <w:szCs w:val="20"/>
        </w:rPr>
      </w:pPr>
      <w:r>
        <w:rPr/>
        <w:t>We believe that the existing Alaska Natural Gas Transportation Act provides the best legislative and regulatory framework for moving the project forward expeditiously.  The ANGTS partnership already holds a certificate of public convenience and necessity from the FERC, as well as numerous other federal permits.  In addition, the ANGTS project should proceed expeditiously due to the benefits from Canadian law and regulation specifically designed to expedite the transportation system, as well as an Agreement on Principles between the United States and Canada related to the project.</w:t>
      </w:r>
    </w:p>
    <w:p>
      <w:pPr>
        <w:pStyle w:val="Normal"/>
        <w:rPr>
          <w:szCs w:val="20"/>
        </w:rPr>
      </w:pPr>
      <w:r>
        <w:rPr/>
        <w:t> </w:t>
      </w:r>
    </w:p>
    <w:p>
      <w:pPr>
        <w:pStyle w:val="Normal"/>
        <w:rPr>
          <w:szCs w:val="20"/>
        </w:rPr>
      </w:pPr>
      <w:r>
        <w:rPr>
          <w:szCs w:val="20"/>
        </w:rPr>
      </w:r>
    </w:p>
    <w:p>
      <w:pPr>
        <w:pStyle w:val="Normal"/>
        <w:rPr/>
      </w:pPr>
      <w:r>
        <w:rPr/>
        <w:t>The Honorable Frank Murkowski</w:t>
      </w:r>
    </w:p>
    <w:p>
      <w:pPr>
        <w:pStyle w:val="Normal"/>
        <w:rPr/>
      </w:pPr>
      <w:r>
        <w:rPr/>
        <w:t>October 23, 2001</w:t>
      </w:r>
    </w:p>
    <w:p>
      <w:pPr>
        <w:pStyle w:val="Normal"/>
        <w:rPr/>
      </w:pPr>
      <w:r>
        <w:rPr/>
        <w:t>Page 2</w:t>
      </w:r>
    </w:p>
    <w:p>
      <w:pPr>
        <w:pStyle w:val="Normal"/>
        <w:rPr/>
      </w:pPr>
      <w:r>
        <w:rPr/>
      </w:r>
    </w:p>
    <w:p>
      <w:pPr>
        <w:pStyle w:val="Normal"/>
        <w:rPr>
          <w:szCs w:val="20"/>
        </w:rPr>
      </w:pPr>
      <w:r>
        <w:rPr/>
        <w:t xml:space="preserve">New legislation is not necessary at this time and could, in fact, impede progress in the commercial discussions by creating new regulatory proceedings that will divert attention from the business discussions.  This will only delay commencement of construction and ultimately delivery of Alaska natural gas pipeline to market.  I would urge you and other Committee members to encourage pipeline and producer interests alike to focus on resolving commercial issues as soon as possible so that the Alaska transportation system will have the business framework it needs to move forward.  Should a need for new legislation be identified in the context of commercial discussions, there will be opportunity to address it at a later date. </w:t>
      </w:r>
    </w:p>
    <w:p>
      <w:pPr>
        <w:pStyle w:val="Normal"/>
        <w:rPr>
          <w:szCs w:val="20"/>
        </w:rPr>
      </w:pPr>
      <w:r>
        <w:rPr/>
        <w:t> </w:t>
      </w:r>
    </w:p>
    <w:p>
      <w:pPr>
        <w:pStyle w:val="Normal"/>
        <w:rPr>
          <w:szCs w:val="20"/>
        </w:rPr>
      </w:pPr>
      <w:r>
        <w:rPr/>
        <w:t>Alaska’s natural gas reserves are a valuable domestic energy source, made all the more important by the serious issues faced by our nation today.  We appreciate your commitment to making these resources accessible to all Americans, and we look forward to working with you, Senator Bingaman and the other committee members on the Alaska Natural Gas Transportation System in the months and years ahead.</w:t>
      </w:r>
    </w:p>
    <w:p>
      <w:pPr>
        <w:pStyle w:val="Normal"/>
        <w:rPr>
          <w:szCs w:val="20"/>
        </w:rPr>
      </w:pPr>
      <w:r>
        <w:rPr/>
        <w:t> </w:t>
      </w:r>
    </w:p>
    <w:p>
      <w:pPr>
        <w:pStyle w:val="Normal"/>
        <w:rPr>
          <w:szCs w:val="20"/>
        </w:rPr>
      </w:pPr>
      <w:r>
        <w:rPr/>
        <w:t>Sincerely,</w:t>
      </w:r>
    </w:p>
    <w:p>
      <w:pPr>
        <w:pStyle w:val="Normal"/>
        <w:rPr>
          <w:szCs w:val="20"/>
        </w:rPr>
      </w:pPr>
      <w:r>
        <w:rPr/>
        <w:t> </w:t>
      </w:r>
    </w:p>
    <w:p>
      <w:pPr>
        <w:pStyle w:val="Normal"/>
        <w:rPr>
          <w:szCs w:val="20"/>
        </w:rPr>
      </w:pPr>
      <w:r>
        <w:rPr/>
        <w:t> </w:t>
      </w:r>
    </w:p>
    <w:p>
      <w:pPr>
        <w:pStyle w:val="Normal"/>
        <w:rPr>
          <w:szCs w:val="20"/>
        </w:rPr>
      </w:pPr>
      <w:r>
        <w:rPr>
          <w:szCs w:val="20"/>
        </w:rPr>
      </w:r>
    </w:p>
    <w:p>
      <w:pPr>
        <w:pStyle w:val="Normal"/>
        <w:rPr>
          <w:szCs w:val="20"/>
        </w:rPr>
      </w:pPr>
      <w:r>
        <w:rPr/>
        <w:t> </w:t>
      </w:r>
    </w:p>
    <w:p>
      <w:pPr>
        <w:pStyle w:val="Normal"/>
        <w:rPr>
          <w:szCs w:val="20"/>
        </w:rPr>
      </w:pPr>
      <w:r>
        <w:rPr/>
        <w:t> </w:t>
      </w:r>
    </w:p>
    <w:p>
      <w:pPr>
        <w:pStyle w:val="Normal"/>
        <w:rPr>
          <w:szCs w:val="20"/>
        </w:rPr>
      </w:pPr>
      <w:r>
        <w:rPr/>
        <w:t>cc:</w:t>
        <w:tab/>
        <w:t>Chairman Bingaman</w:t>
      </w:r>
    </w:p>
    <w:p>
      <w:pPr>
        <w:pStyle w:val="Normal"/>
        <w:rPr>
          <w:szCs w:val="20"/>
        </w:rPr>
      </w:pPr>
      <w:r>
        <w:rPr/>
        <w:tab/>
        <w:t>Members of the Senate Energy and Natural Resources Committee</w:t>
      </w:r>
    </w:p>
    <w:p>
      <w:pPr>
        <w:pStyle w:val="Normal"/>
        <w:rPr/>
      </w:pPr>
      <w:r>
        <w:rPr/>
        <w:t> </w:t>
      </w:r>
      <w:r>
        <w:br w:type="page"/>
      </w:r>
    </w:p>
    <w:p>
      <w:pPr>
        <w:pStyle w:val="Normal"/>
        <w:rPr>
          <w:szCs w:val="20"/>
        </w:rPr>
      </w:pPr>
      <w:r>
        <w:rPr>
          <w:szCs w:val="20"/>
        </w:rPr>
      </w:r>
    </w:p>
    <w:p>
      <w:pPr>
        <w:pStyle w:val="Normal"/>
        <w:rPr>
          <w:szCs w:val="20"/>
        </w:rPr>
      </w:pPr>
      <w:r>
        <w:rPr/>
        <w:t>Bcc:</w:t>
        <w:tab/>
        <w:t>Thomas B. King</w:t>
      </w:r>
    </w:p>
    <w:p>
      <w:pPr>
        <w:pStyle w:val="Normal"/>
        <w:rPr>
          <w:szCs w:val="20"/>
        </w:rPr>
      </w:pPr>
      <w:r>
        <w:rPr/>
        <w:tab/>
        <w:t>Steven L. Kline</w:t>
      </w:r>
    </w:p>
    <w:p>
      <w:pPr>
        <w:pStyle w:val="Normal"/>
        <w:rPr>
          <w:szCs w:val="20"/>
        </w:rPr>
      </w:pPr>
      <w:r>
        <w:rPr/>
        <w:tab/>
        <w:t>Sandra K. McDonough</w:t>
      </w:r>
    </w:p>
    <w:p>
      <w:pPr>
        <w:pStyle w:val="Normal"/>
        <w:rPr>
          <w:szCs w:val="20"/>
        </w:rPr>
      </w:pPr>
      <w:r>
        <w:rPr/>
        <w:tab/>
        <w:t>Peter Lund</w:t>
      </w:r>
    </w:p>
    <w:p>
      <w:pPr>
        <w:pStyle w:val="Normal"/>
        <w:rPr>
          <w:szCs w:val="20"/>
        </w:rPr>
      </w:pPr>
      <w:r>
        <w:rPr/>
        <w:t> </w:t>
      </w:r>
    </w:p>
    <w:p>
      <w:pPr>
        <w:pStyle w:val="Normal"/>
        <w:rPr>
          <w:szCs w:val="20"/>
        </w:rPr>
      </w:pPr>
      <w:r>
        <w:rPr/>
        <w:t> </w:t>
      </w:r>
    </w:p>
    <w:p>
      <w:pPr>
        <w:pStyle w:val="Normal"/>
        <w:rPr>
          <w:szCs w:val="20"/>
        </w:rPr>
      </w:pPr>
      <w:r>
        <w:rPr/>
        <w:t> </w:t>
      </w:r>
    </w:p>
    <w:p>
      <w:pPr>
        <w:pStyle w:val="Normal"/>
        <w:rPr>
          <w:szCs w:val="20"/>
        </w:rPr>
      </w:pPr>
      <w:r>
        <w:rPr/>
        <w:t> </w:t>
      </w:r>
    </w:p>
    <w:p>
      <w:pPr>
        <w:pStyle w:val="Normal"/>
        <w:rPr>
          <w:szCs w:val="20"/>
        </w:rPr>
      </w:pPr>
      <w:r>
        <w:rPr/>
        <w:t> </w:t>
      </w:r>
    </w:p>
    <w:p>
      <w:pPr>
        <w:pStyle w:val="Normal"/>
        <w:rPr>
          <w:szCs w:val="20"/>
        </w:rPr>
      </w:pPr>
      <w:r>
        <w:rPr/>
        <w:t> </w:t>
      </w:r>
    </w:p>
    <w:p>
      <w:pPr>
        <w:pStyle w:val="Normal"/>
        <w:rPr>
          <w:szCs w:val="20"/>
        </w:rPr>
      </w:pPr>
      <w:r>
        <w:rPr/>
        <w:t> </w:t>
      </w:r>
    </w:p>
    <w:p>
      <w:pPr>
        <w:pStyle w:val="Normal"/>
        <w:rPr>
          <w:szCs w:val="20"/>
        </w:rPr>
      </w:pPr>
      <w:r>
        <w:rPr/>
        <w:t> </w:t>
      </w:r>
    </w:p>
    <w:p>
      <w:pPr>
        <w:pStyle w:val="Normal"/>
        <w:rPr>
          <w:szCs w:val="20"/>
        </w:rPr>
      </w:pPr>
      <w:r>
        <w:rPr>
          <w:szCs w:val="20"/>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rFonts w:eastAsia="Arial Unicode MS"/>
      <w:szCs w:val="20"/>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2001-10-23T18:21:00Z</dcterms:created>
  <dc:creator>Michelle Antonio</dc:creator>
  <dc:description/>
  <dc:language>en-CA</dc:language>
  <cp:lastModifiedBy>Michelle Antonio</cp:lastModifiedBy>
  <cp:lastPrinted>2001-10-24T09:38:00Z</cp:lastPrinted>
  <dcterms:modified xsi:type="dcterms:W3CDTF">2001-10-24T14:09:00Z</dcterms:modified>
  <cp:revision>3</cp:revision>
  <dc:subject/>
  <dc:title>October</dc:title>
</cp:coreProperties>
</file>