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Heading"/>
        <w:rPr/>
      </w:pPr>
      <w:r>
        <w:rPr/>
        <w:t>Tahoe Update</w:t>
      </w:r>
    </w:p>
    <w:p>
      <w:pPr>
        <w:pStyle w:val="Normal"/>
        <w:autoSpaceDE w:val="false"/>
        <w:jc w:val="center"/>
        <w:rPr>
          <w:rFonts w:ascii="Arial" w:hAnsi="Arial" w:cs="Arial"/>
          <w:b/>
          <w:bCs/>
          <w:szCs w:val="20"/>
        </w:rPr>
      </w:pPr>
      <w:r>
        <w:rPr>
          <w:rFonts w:cs="Arial" w:ascii="Arial" w:hAnsi="Arial"/>
          <w:b/>
          <w:bCs/>
          <w:szCs w:val="20"/>
        </w:rPr>
        <w:t>10.23.2001</w:t>
      </w:r>
    </w:p>
    <w:p>
      <w:pPr>
        <w:pStyle w:val="Normal"/>
        <w:autoSpaceDE w:val="false"/>
        <w:jc w:val="center"/>
        <w:rPr>
          <w:rFonts w:ascii="Arial" w:hAnsi="Arial" w:cs="Arial"/>
          <w:b/>
          <w:bCs/>
          <w:sz w:val="20"/>
          <w:szCs w:val="20"/>
          <w:u w:val="single"/>
        </w:rPr>
      </w:pPr>
      <w:r>
        <w:rPr>
          <w:rFonts w:cs="Arial" w:ascii="Arial" w:hAnsi="Arial"/>
          <w:b/>
          <w:bCs/>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r>
    </w:p>
    <w:p>
      <w:pPr>
        <w:pStyle w:val="Normal"/>
        <w:autoSpaceDE w:val="false"/>
        <w:jc w:val="center"/>
        <w:rPr>
          <w:rFonts w:ascii="Arial" w:hAnsi="Arial" w:cs="Arial"/>
          <w:sz w:val="20"/>
          <w:szCs w:val="20"/>
          <w:u w:val="single"/>
        </w:rPr>
      </w:pPr>
      <w:r>
        <w:rPr>
          <w:rFonts w:cs="Arial" w:ascii="Arial" w:hAnsi="Arial"/>
          <w:sz w:val="20"/>
          <w:szCs w:val="20"/>
          <w:u w:val="single"/>
        </w:rPr>
        <w:t>Summary Status Report</w:t>
      </w:r>
    </w:p>
    <w:p>
      <w:pPr>
        <w:pStyle w:val="Normal"/>
        <w:autoSpaceDE w:val="false"/>
        <w:jc w:val="center"/>
        <w:rPr>
          <w:rFonts w:ascii="Arial" w:hAnsi="Arial" w:cs="Arial"/>
          <w:sz w:val="20"/>
          <w:szCs w:val="20"/>
          <w:u w:val="single"/>
        </w:rPr>
      </w:pPr>
      <w:r>
        <w:rPr>
          <w:rFonts w:cs="Arial" w:ascii="Arial" w:hAnsi="Arial"/>
          <w:sz w:val="20"/>
          <w:szCs w:val="20"/>
          <w:u w:val="single"/>
        </w:rPr>
      </w:r>
    </w:p>
    <w:tbl>
      <w:tblPr>
        <w:tblW w:w="8640" w:type="dxa"/>
        <w:jc w:val="start"/>
        <w:tblInd w:w="288" w:type="dxa"/>
        <w:tblLayout w:type="fixed"/>
        <w:tblCellMar>
          <w:top w:w="0" w:type="dxa"/>
          <w:start w:w="108" w:type="dxa"/>
          <w:bottom w:w="0" w:type="dxa"/>
          <w:end w:w="108" w:type="dxa"/>
        </w:tblCellMar>
      </w:tblPr>
      <w:tblGrid>
        <w:gridCol w:w="2664"/>
        <w:gridCol w:w="5976"/>
      </w:tblGrid>
      <w:tr>
        <w:trPr/>
        <w:tc>
          <w:tcPr>
            <w:tcW w:w="2664" w:type="dxa"/>
            <w:tcBorders>
              <w:top w:val="single" w:sz="12" w:space="0" w:color="000000"/>
              <w:start w:val="single" w:sz="12" w:space="0" w:color="000000"/>
              <w:bottom w:val="single" w:sz="12" w:space="0" w:color="000000"/>
              <w:end w:val="single" w:sz="6" w:space="0" w:color="000000"/>
            </w:tcBorders>
          </w:tcPr>
          <w:p>
            <w:pPr>
              <w:pStyle w:val="Normal"/>
              <w:autoSpaceDE w:val="false"/>
              <w:jc w:val="center"/>
              <w:rPr>
                <w:rFonts w:ascii="Arial" w:hAnsi="Arial" w:cs="Arial"/>
                <w:sz w:val="20"/>
                <w:szCs w:val="20"/>
              </w:rPr>
            </w:pPr>
            <w:r>
              <w:rPr>
                <w:rFonts w:cs="Arial" w:ascii="Arial" w:hAnsi="Arial"/>
                <w:sz w:val="20"/>
                <w:szCs w:val="20"/>
              </w:rPr>
              <w:t>Forum</w:t>
            </w:r>
          </w:p>
        </w:tc>
        <w:tc>
          <w:tcPr>
            <w:tcW w:w="5976" w:type="dxa"/>
            <w:tcBorders>
              <w:top w:val="single" w:sz="12" w:space="0" w:color="000000"/>
              <w:start w:val="single" w:sz="6" w:space="0" w:color="000000"/>
              <w:bottom w:val="single" w:sz="12" w:space="0" w:color="000000"/>
              <w:end w:val="single" w:sz="12" w:space="0" w:color="000000"/>
            </w:tcBorders>
          </w:tcPr>
          <w:p>
            <w:pPr>
              <w:pStyle w:val="Normal"/>
              <w:autoSpaceDE w:val="false"/>
              <w:jc w:val="center"/>
              <w:rPr>
                <w:rFonts w:ascii="Arial" w:hAnsi="Arial" w:cs="Arial"/>
                <w:sz w:val="20"/>
                <w:szCs w:val="20"/>
              </w:rPr>
            </w:pPr>
            <w:r>
              <w:rPr>
                <w:rFonts w:cs="Arial" w:ascii="Arial" w:hAnsi="Arial"/>
                <w:sz w:val="20"/>
                <w:szCs w:val="20"/>
              </w:rPr>
              <w:t>Status</w:t>
            </w:r>
          </w:p>
        </w:tc>
      </w:tr>
      <w:tr>
        <w:trPr/>
        <w:tc>
          <w:tcPr>
            <w:tcW w:w="2664" w:type="dxa"/>
            <w:tcBorders>
              <w:top w:val="single" w:sz="12"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WUTC</w:t>
            </w:r>
          </w:p>
        </w:tc>
        <w:tc>
          <w:tcPr>
            <w:tcW w:w="5976" w:type="dxa"/>
            <w:tcBorders>
              <w:top w:val="single" w:sz="12"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10.23 meeting with Ackerman and NWN Counsel re:  WUTC process and schedule.</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OPUC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11.1 Piro/DeBolt briefing on NWN financing of transaction.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10.24 conference call with NWN to discuss rate plan.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10.16 meeting with staff and parties.  See update below.</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FERC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10.19 meeting with FERC staff.  See update below.</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10.23 meeting with Comm’r Brownell to discuss schedule.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11.1 draft testimony by CRA available for review.</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11.1-11.2 FERC Commissioners in Seattle for meeting on RTOs.  This is opportunity for pushing schedule.</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SEC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Week of 11.12.  Pre-filing meeting with SEC staff.</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OR EFSC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Filing being drafted by Nichols.  Will be circulated to NWN Counsel.</w:t>
            </w:r>
          </w:p>
        </w:tc>
      </w:tr>
      <w:tr>
        <w:trPr/>
        <w:tc>
          <w:tcPr>
            <w:tcW w:w="2664" w:type="dxa"/>
            <w:tcBorders>
              <w:top w:val="single" w:sz="6" w:space="0" w:color="000000"/>
              <w:start w:val="single" w:sz="12" w:space="0" w:color="000000"/>
              <w:bottom w:val="single" w:sz="6"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NRC</w:t>
            </w:r>
          </w:p>
        </w:tc>
        <w:tc>
          <w:tcPr>
            <w:tcW w:w="5976"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Filing being drafted by Nichols.  Will be circulated to NWN Counsel.</w:t>
            </w:r>
          </w:p>
        </w:tc>
      </w:tr>
      <w:tr>
        <w:trPr/>
        <w:tc>
          <w:tcPr>
            <w:tcW w:w="2664" w:type="dxa"/>
            <w:tcBorders>
              <w:top w:val="single" w:sz="6" w:space="0" w:color="000000"/>
              <w:start w:val="single" w:sz="12" w:space="0" w:color="000000"/>
              <w:bottom w:val="single" w:sz="12" w:space="0" w:color="000000"/>
              <w:end w:val="single" w:sz="6" w:space="0" w:color="000000"/>
            </w:tcBorders>
          </w:tcPr>
          <w:p>
            <w:pPr>
              <w:pStyle w:val="Normal"/>
              <w:autoSpaceDE w:val="false"/>
              <w:jc w:val="center"/>
              <w:rPr>
                <w:rFonts w:ascii="Arial" w:hAnsi="Arial" w:cs="Arial"/>
                <w:b/>
                <w:bCs/>
                <w:sz w:val="20"/>
                <w:szCs w:val="20"/>
              </w:rPr>
            </w:pPr>
            <w:r>
              <w:rPr>
                <w:rFonts w:cs="Arial" w:ascii="Arial" w:hAnsi="Arial"/>
                <w:b/>
                <w:bCs/>
                <w:sz w:val="20"/>
                <w:szCs w:val="20"/>
              </w:rPr>
              <w:t>FCC</w:t>
            </w:r>
          </w:p>
        </w:tc>
        <w:tc>
          <w:tcPr>
            <w:tcW w:w="5976" w:type="dxa"/>
            <w:tcBorders>
              <w:top w:val="single" w:sz="6" w:space="0" w:color="000000"/>
              <w:start w:val="single" w:sz="6" w:space="0" w:color="000000"/>
              <w:bottom w:val="single" w:sz="12" w:space="0" w:color="000000"/>
              <w:end w:val="single" w:sz="12" w:space="0" w:color="000000"/>
            </w:tcBorders>
          </w:tcPr>
          <w:p>
            <w:pPr>
              <w:pStyle w:val="Normal"/>
              <w:autoSpaceDE w:val="false"/>
              <w:rPr>
                <w:rFonts w:ascii="Arial" w:hAnsi="Arial" w:cs="Arial"/>
                <w:sz w:val="20"/>
                <w:szCs w:val="20"/>
              </w:rPr>
            </w:pPr>
            <w:r>
              <w:rPr>
                <w:rFonts w:cs="Arial" w:ascii="Arial" w:hAnsi="Arial"/>
                <w:sz w:val="20"/>
                <w:szCs w:val="20"/>
              </w:rPr>
              <w:t xml:space="preserve">Filing to be drafted by Nichols.  </w:t>
            </w:r>
          </w:p>
        </w:tc>
      </w:tr>
    </w:tbl>
    <w:p>
      <w:pPr>
        <w:pStyle w:val="Normal"/>
        <w:autoSpaceDE w:val="false"/>
        <w:jc w:val="center"/>
        <w:rPr>
          <w:rFonts w:ascii="Arial" w:hAnsi="Arial" w:cs="Arial"/>
          <w:sz w:val="20"/>
          <w:szCs w:val="20"/>
        </w:rPr>
      </w:pPr>
      <w:r>
        <w:rPr>
          <w:rFonts w:cs="Arial" w:ascii="Arial" w:hAnsi="Arial"/>
          <w:sz w:val="20"/>
          <w:szCs w:val="20"/>
        </w:rPr>
      </w:r>
    </w:p>
    <w:p>
      <w:pPr>
        <w:pStyle w:val="Normal"/>
        <w:autoSpaceDE w:val="false"/>
        <w:jc w:val="center"/>
        <w:rPr>
          <w:rFonts w:ascii="Arial" w:hAnsi="Arial" w:cs="Arial"/>
          <w:u w:val="single"/>
        </w:rPr>
      </w:pPr>
      <w:r>
        <w:rPr>
          <w:rFonts w:cs="Arial" w:ascii="Arial" w:hAnsi="Arial"/>
          <w:sz w:val="20"/>
          <w:szCs w:val="20"/>
          <w:u w:val="single"/>
        </w:rPr>
        <w:t>FERC Regulatory</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pPr>
      <w:r>
        <w:rPr>
          <w:rFonts w:cs="Arial" w:ascii="Arial" w:hAnsi="Arial"/>
          <w:sz w:val="20"/>
          <w:szCs w:val="20"/>
          <w:u w:val="single"/>
        </w:rPr>
        <w:t>10.19 Pre-Filing Meeting</w:t>
      </w:r>
      <w:r>
        <w:rPr>
          <w:rFonts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Attendees:  Mike Coleman (head of Western power market issues and in charge of corporate regulation), John Carlson (Mike’s Deputy), David Hanger (sp?), Jim Mitchell (Thelan Reid &amp; Priest), Susan Ackerman, Adam Wenner, Mark Metts, Paul Kaufman, Bill Hieronymus (CRA), Julie Solomon (CRA).  Our meeting was extremely positive.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The following summarizes the comments made by FERC staff.</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autoSpaceDE w:val="false"/>
        <w:rPr>
          <w:rFonts w:ascii="Arial" w:hAnsi="Arial" w:cs="Arial"/>
          <w:sz w:val="20"/>
          <w:szCs w:val="20"/>
        </w:rPr>
      </w:pPr>
      <w:r>
        <w:rPr>
          <w:rFonts w:cs="Arial" w:ascii="Arial" w:hAnsi="Arial"/>
          <w:sz w:val="20"/>
          <w:szCs w:val="20"/>
        </w:rPr>
        <w:t>We don’t need to do a specific horizontal market power analysis.   We will need to file testimony supporting the conclusion that a detailed analysis is not necessary—e.g., that NWN doesn’t have any interest in generation that will influence price in the power markets.</w:t>
      </w:r>
    </w:p>
    <w:p>
      <w:pPr>
        <w:pStyle w:val="Normal"/>
        <w:numPr>
          <w:ilvl w:val="0"/>
          <w:numId w:val="4"/>
        </w:numPr>
        <w:autoSpaceDE w:val="false"/>
        <w:rPr>
          <w:rFonts w:ascii="Arial" w:hAnsi="Arial" w:cs="Arial"/>
          <w:sz w:val="20"/>
          <w:szCs w:val="20"/>
        </w:rPr>
      </w:pPr>
      <w:r>
        <w:rPr>
          <w:rFonts w:cs="Arial" w:ascii="Arial" w:hAnsi="Arial"/>
          <w:sz w:val="20"/>
          <w:szCs w:val="20"/>
        </w:rPr>
        <w:t xml:space="preserve">We don’t need to do a specific/detailed vertical market power analysis.  Again, our testimony must support facts alleged in meeting—e.g., that NWN doesn’t control any upstream inputs to downstream generation market.  </w:t>
      </w:r>
    </w:p>
    <w:p>
      <w:pPr>
        <w:pStyle w:val="Normal"/>
        <w:numPr>
          <w:ilvl w:val="0"/>
          <w:numId w:val="4"/>
        </w:numPr>
        <w:autoSpaceDE w:val="false"/>
        <w:rPr>
          <w:rFonts w:ascii="Arial" w:hAnsi="Arial" w:cs="Arial"/>
          <w:sz w:val="20"/>
          <w:szCs w:val="20"/>
        </w:rPr>
      </w:pPr>
      <w:r>
        <w:rPr>
          <w:rFonts w:cs="Arial" w:ascii="Arial" w:hAnsi="Arial"/>
          <w:sz w:val="20"/>
          <w:szCs w:val="20"/>
        </w:rPr>
        <w:t xml:space="preserve">Enron’s investment does not appear to raise any affiliate issues.  FERC staff was not concerned for modeling purposes or for the purposes of applying any affiliate conditions.  </w:t>
      </w:r>
    </w:p>
    <w:p>
      <w:pPr>
        <w:pStyle w:val="Normal"/>
        <w:numPr>
          <w:ilvl w:val="0"/>
          <w:numId w:val="4"/>
        </w:numPr>
        <w:autoSpaceDE w:val="false"/>
        <w:rPr>
          <w:rFonts w:ascii="Arial" w:hAnsi="Arial" w:cs="Arial"/>
          <w:sz w:val="20"/>
          <w:szCs w:val="20"/>
        </w:rPr>
      </w:pPr>
      <w:r>
        <w:rPr>
          <w:rFonts w:cs="Arial" w:ascii="Arial" w:hAnsi="Arial"/>
          <w:sz w:val="20"/>
          <w:szCs w:val="20"/>
        </w:rPr>
        <w:t>We need to reach out to PGE’s wholesale customer (City of Glendale).  It will be necessary to offer a “hold harmless” condition.</w:t>
      </w:r>
    </w:p>
    <w:p>
      <w:pPr>
        <w:pStyle w:val="Normal"/>
        <w:numPr>
          <w:ilvl w:val="0"/>
          <w:numId w:val="4"/>
        </w:numPr>
        <w:autoSpaceDE w:val="false"/>
        <w:rPr>
          <w:rFonts w:ascii="Arial" w:hAnsi="Arial" w:cs="Arial"/>
          <w:sz w:val="20"/>
          <w:szCs w:val="20"/>
        </w:rPr>
      </w:pPr>
      <w:r>
        <w:rPr>
          <w:rFonts w:cs="Arial" w:ascii="Arial" w:hAnsi="Arial"/>
          <w:sz w:val="20"/>
          <w:szCs w:val="20"/>
        </w:rPr>
        <w:t xml:space="preserve">We will need to offer an unequivocal commitment to join an RTO.  No interim measure will be necessary.  Mike Coleman expressly complimented PGE on its leadership on RTO issues.  Coleman considers Frank Afranjii (Head of PGE’s TBL) a personal friend.  </w:t>
      </w:r>
    </w:p>
    <w:p>
      <w:pPr>
        <w:pStyle w:val="Normal"/>
        <w:numPr>
          <w:ilvl w:val="0"/>
          <w:numId w:val="4"/>
        </w:numPr>
        <w:autoSpaceDE w:val="false"/>
        <w:rPr>
          <w:rFonts w:ascii="Arial" w:hAnsi="Arial" w:cs="Arial"/>
          <w:sz w:val="20"/>
          <w:szCs w:val="20"/>
        </w:rPr>
      </w:pPr>
      <w:r>
        <w:rPr>
          <w:rFonts w:cs="Arial" w:ascii="Arial" w:hAnsi="Arial"/>
          <w:sz w:val="20"/>
          <w:szCs w:val="20"/>
        </w:rPr>
        <w:t>We discussed the potential for joint purchasing of natural gas by NWN and PGE.  This discussion did not ring any alarm bells with staff.</w:t>
      </w:r>
    </w:p>
    <w:p>
      <w:pPr>
        <w:pStyle w:val="Normal"/>
        <w:numPr>
          <w:ilvl w:val="0"/>
          <w:numId w:val="4"/>
        </w:numPr>
        <w:autoSpaceDE w:val="false"/>
        <w:rPr>
          <w:rFonts w:ascii="Arial" w:hAnsi="Arial" w:cs="Arial"/>
          <w:sz w:val="20"/>
          <w:szCs w:val="20"/>
        </w:rPr>
      </w:pPr>
      <w:r>
        <w:rPr>
          <w:rFonts w:cs="Arial" w:ascii="Arial" w:hAnsi="Arial"/>
          <w:sz w:val="20"/>
          <w:szCs w:val="20"/>
        </w:rPr>
        <w:t xml:space="preserve">Coleman stated that he didn’t see any issues raised by the transaction.  He stated that he saw no problems in issuing a decision within the 150-day timeframe they have for mergers.  He stated that a decision in less than 150 days is possible; however, actual timing will depend on the priorities set by the Chairman.  He encouraged us to seek out the Chairman and Commissioners and discuss scheduling.  </w:t>
      </w:r>
    </w:p>
    <w:p>
      <w:pPr>
        <w:pStyle w:val="Normal"/>
        <w:numPr>
          <w:ilvl w:val="0"/>
          <w:numId w:val="4"/>
        </w:numPr>
        <w:autoSpaceDE w:val="false"/>
        <w:rPr>
          <w:rFonts w:ascii="Arial" w:hAnsi="Arial" w:cs="Arial"/>
          <w:sz w:val="20"/>
          <w:szCs w:val="20"/>
        </w:rPr>
      </w:pPr>
      <w:r>
        <w:rPr>
          <w:rFonts w:cs="Arial" w:ascii="Arial" w:hAnsi="Arial"/>
          <w:sz w:val="20"/>
          <w:szCs w:val="20"/>
        </w:rPr>
        <w:t xml:space="preserve">Coleman asked whether the transaction required any approval for the companies to issue equity or debt.   Wenner responded that he didn’t think so. </w:t>
      </w:r>
    </w:p>
    <w:p>
      <w:pPr>
        <w:pStyle w:val="Normal"/>
        <w:numPr>
          <w:ilvl w:val="0"/>
          <w:numId w:val="4"/>
        </w:numPr>
        <w:autoSpaceDE w:val="false"/>
        <w:rPr>
          <w:rFonts w:ascii="Arial" w:hAnsi="Arial" w:cs="Arial"/>
          <w:sz w:val="20"/>
          <w:szCs w:val="20"/>
        </w:rPr>
      </w:pPr>
      <w:r>
        <w:rPr>
          <w:rFonts w:cs="Arial" w:ascii="Arial" w:hAnsi="Arial"/>
          <w:sz w:val="20"/>
          <w:szCs w:val="20"/>
        </w:rPr>
        <w:t>FERC staff asked about potential intervenors.  We identified the California refund parties as potential intervenors.</w:t>
      </w:r>
    </w:p>
    <w:p>
      <w:pPr>
        <w:pStyle w:val="Normal"/>
        <w:numPr>
          <w:ilvl w:val="0"/>
          <w:numId w:val="4"/>
        </w:numPr>
        <w:autoSpaceDE w:val="false"/>
        <w:rPr>
          <w:rFonts w:ascii="Arial" w:hAnsi="Arial" w:cs="Arial"/>
          <w:sz w:val="20"/>
          <w:szCs w:val="20"/>
        </w:rPr>
      </w:pPr>
      <w:r>
        <w:rPr>
          <w:rFonts w:cs="Arial" w:ascii="Arial" w:hAnsi="Arial"/>
          <w:sz w:val="20"/>
          <w:szCs w:val="20"/>
        </w:rPr>
        <w:t xml:space="preserve">FERC staff asked about the timing of OPUC approval.  We stated that approvals have all taken around 9 months.  We also stated that OPUC Chairman has made public statements indicating that expedited treatment is possible.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u w:val="single"/>
        </w:rPr>
        <w:t>Next Steps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3"/>
        </w:numPr>
        <w:autoSpaceDE w:val="false"/>
        <w:rPr>
          <w:rFonts w:ascii="Arial" w:hAnsi="Arial" w:cs="Arial"/>
          <w:sz w:val="20"/>
          <w:szCs w:val="20"/>
        </w:rPr>
      </w:pPr>
      <w:r>
        <w:rPr>
          <w:rFonts w:cs="Arial" w:ascii="Arial" w:hAnsi="Arial"/>
          <w:sz w:val="20"/>
          <w:szCs w:val="20"/>
        </w:rPr>
        <w:t xml:space="preserve">Preparation of FERC testimony.  Hieronymus stated that a draft of his testimony would be available the week of 11.30.  </w:t>
      </w:r>
    </w:p>
    <w:p>
      <w:pPr>
        <w:pStyle w:val="Normal"/>
        <w:numPr>
          <w:ilvl w:val="0"/>
          <w:numId w:val="3"/>
        </w:numPr>
        <w:autoSpaceDE w:val="false"/>
        <w:rPr>
          <w:rFonts w:ascii="Arial" w:hAnsi="Arial" w:cs="Arial"/>
          <w:sz w:val="20"/>
          <w:szCs w:val="20"/>
        </w:rPr>
      </w:pPr>
      <w:r>
        <w:rPr>
          <w:rFonts w:cs="Arial" w:ascii="Arial" w:hAnsi="Arial"/>
          <w:sz w:val="20"/>
          <w:szCs w:val="20"/>
        </w:rPr>
        <w:t xml:space="preserve">Confirm the timing for a draft application.  To meet this deadline, CRA must be data adequate.  </w:t>
      </w:r>
    </w:p>
    <w:p>
      <w:pPr>
        <w:pStyle w:val="Normal"/>
        <w:numPr>
          <w:ilvl w:val="0"/>
          <w:numId w:val="3"/>
        </w:numPr>
        <w:autoSpaceDE w:val="false"/>
        <w:rPr>
          <w:rFonts w:ascii="Arial" w:hAnsi="Arial" w:cs="Arial"/>
          <w:sz w:val="20"/>
          <w:szCs w:val="20"/>
        </w:rPr>
      </w:pPr>
      <w:r>
        <w:rPr>
          <w:rFonts w:cs="Arial" w:ascii="Arial" w:hAnsi="Arial"/>
          <w:sz w:val="20"/>
          <w:szCs w:val="20"/>
        </w:rPr>
        <w:t>Confirm that debt/equity issuance approval is not necessary.</w:t>
      </w:r>
    </w:p>
    <w:p>
      <w:pPr>
        <w:pStyle w:val="Normal"/>
        <w:numPr>
          <w:ilvl w:val="0"/>
          <w:numId w:val="3"/>
        </w:numPr>
        <w:autoSpaceDE w:val="false"/>
        <w:rPr>
          <w:rFonts w:ascii="Arial" w:hAnsi="Arial" w:cs="Arial"/>
          <w:sz w:val="20"/>
          <w:szCs w:val="20"/>
        </w:rPr>
      </w:pPr>
      <w:r>
        <w:rPr>
          <w:rFonts w:cs="Arial" w:ascii="Arial" w:hAnsi="Arial"/>
          <w:sz w:val="20"/>
          <w:szCs w:val="20"/>
        </w:rPr>
        <w:t>Confirm that all attachments to application are available or under preparation.</w:t>
      </w:r>
    </w:p>
    <w:p>
      <w:pPr>
        <w:pStyle w:val="Normal"/>
        <w:numPr>
          <w:ilvl w:val="0"/>
          <w:numId w:val="3"/>
        </w:numPr>
        <w:autoSpaceDE w:val="false"/>
        <w:rPr>
          <w:rFonts w:ascii="Arial" w:hAnsi="Arial" w:cs="Arial"/>
          <w:sz w:val="20"/>
          <w:szCs w:val="20"/>
        </w:rPr>
      </w:pPr>
      <w:r>
        <w:rPr>
          <w:rFonts w:cs="Arial" w:ascii="Arial" w:hAnsi="Arial"/>
          <w:sz w:val="20"/>
          <w:szCs w:val="20"/>
        </w:rPr>
        <w:t>Discuss schedule with FERC.</w:t>
      </w:r>
    </w:p>
    <w:p>
      <w:pPr>
        <w:pStyle w:val="Normal"/>
        <w:numPr>
          <w:ilvl w:val="0"/>
          <w:numId w:val="3"/>
        </w:numPr>
        <w:autoSpaceDE w:val="false"/>
        <w:rPr>
          <w:rFonts w:ascii="Arial" w:hAnsi="Arial" w:cs="Arial"/>
          <w:sz w:val="20"/>
          <w:szCs w:val="20"/>
        </w:rPr>
      </w:pPr>
      <w:r>
        <w:rPr>
          <w:rFonts w:cs="Arial" w:ascii="Arial" w:hAnsi="Arial"/>
          <w:sz w:val="20"/>
          <w:szCs w:val="20"/>
        </w:rPr>
        <w:t>File PGE/NWN affiliation modifications to PGE’s market-based rate tariffs.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jc w:val="center"/>
        <w:rPr>
          <w:rFonts w:ascii="Arial" w:hAnsi="Arial" w:cs="Arial"/>
          <w:sz w:val="20"/>
          <w:szCs w:val="20"/>
        </w:rPr>
      </w:pPr>
      <w:r>
        <w:rPr>
          <w:rFonts w:cs="Arial" w:ascii="Arial" w:hAnsi="Arial"/>
          <w:sz w:val="20"/>
          <w:szCs w:val="20"/>
          <w:u w:val="single"/>
        </w:rPr>
        <w:t>Oregon Proceeding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u w:val="single"/>
        </w:rPr>
        <w:t>Meeting with OPUC Staff and Intervenors</w:t>
      </w:r>
      <w:r>
        <w:rPr>
          <w:rFonts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Attendees:  For staff, Mark Helman, Phil Nyegaard, Bonnie Tatum, Bryan Conway, Stephanie Andrus (OR DOJ).  For ICNU, Melinda Davidson and Ken Cannon.  For NWIGU, Paula Pyron and Ed Finklea.  For CUB, Jason Eisdorfer.  For Enron, Mike Morgan, Paul Kaufman, Patrick Hager, Jay Dudley.  For NWN, Susan Ackerman, Jim Fell, and Keith White.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The meeting neither advanced our efforts nor detracted from them.  A number of issues were left open for future discussion in a meeting with Jim Piro and Bruce DeBolt.  This follow-up meeting is scheduled for November 1.   The next meeting is critical.    The following summarizes the discussion:</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5"/>
        </w:numPr>
        <w:autoSpaceDE w:val="false"/>
        <w:rPr>
          <w:rFonts w:ascii="Arial" w:hAnsi="Arial" w:cs="Arial"/>
          <w:sz w:val="20"/>
          <w:szCs w:val="20"/>
        </w:rPr>
      </w:pPr>
      <w:r>
        <w:rPr>
          <w:rFonts w:cs="Arial" w:ascii="Arial" w:hAnsi="Arial"/>
          <w:sz w:val="20"/>
          <w:szCs w:val="20"/>
        </w:rPr>
        <w:t xml:space="preserve">Morgan started off the meeting by explaining the steps to the transaction.  He briefly discussed the option held by Enron NW Assets and stated that the entity was a vehicle for the potential monetization of Enron’s equity.  </w:t>
      </w:r>
    </w:p>
    <w:p>
      <w:pPr>
        <w:pStyle w:val="Normal"/>
        <w:numPr>
          <w:ilvl w:val="0"/>
          <w:numId w:val="5"/>
        </w:numPr>
        <w:autoSpaceDE w:val="false"/>
        <w:rPr>
          <w:rFonts w:ascii="Arial" w:hAnsi="Arial" w:cs="Arial"/>
          <w:sz w:val="20"/>
          <w:szCs w:val="20"/>
        </w:rPr>
      </w:pPr>
      <w:r>
        <w:rPr>
          <w:rFonts w:cs="Arial" w:ascii="Arial" w:hAnsi="Arial"/>
          <w:sz w:val="20"/>
          <w:szCs w:val="20"/>
        </w:rPr>
        <w:t xml:space="preserve">White then discussed the overall financing plan for the transaction.  He explained Enron’s equity position, NWN’s plan to issue equity at (or around) closing, NWN’s plan to issue more equity within two years of closing.  He also discussed the plan by both PGE and NWN to refinance their short-term debt.  White deferred a number of answers to the next meeting (see above).  </w:t>
      </w:r>
    </w:p>
    <w:p>
      <w:pPr>
        <w:pStyle w:val="Normal"/>
        <w:numPr>
          <w:ilvl w:val="0"/>
          <w:numId w:val="5"/>
        </w:numPr>
        <w:autoSpaceDE w:val="false"/>
        <w:rPr>
          <w:rFonts w:ascii="Arial" w:hAnsi="Arial" w:cs="Arial"/>
          <w:sz w:val="20"/>
          <w:szCs w:val="20"/>
        </w:rPr>
      </w:pPr>
      <w:r>
        <w:rPr>
          <w:rFonts w:cs="Arial" w:ascii="Arial" w:hAnsi="Arial"/>
          <w:sz w:val="20"/>
          <w:szCs w:val="20"/>
        </w:rPr>
        <w:t xml:space="preserve">Ackerman discussed the schedule for our filing and our interest in a quick process.  </w:t>
      </w:r>
    </w:p>
    <w:p>
      <w:pPr>
        <w:pStyle w:val="Normal"/>
        <w:numPr>
          <w:ilvl w:val="0"/>
          <w:numId w:val="5"/>
        </w:numPr>
        <w:autoSpaceDE w:val="false"/>
        <w:rPr>
          <w:rFonts w:ascii="Arial" w:hAnsi="Arial" w:cs="Arial"/>
          <w:sz w:val="20"/>
          <w:szCs w:val="20"/>
        </w:rPr>
      </w:pPr>
      <w:r>
        <w:rPr>
          <w:rFonts w:cs="Arial" w:ascii="Arial" w:hAnsi="Arial"/>
          <w:sz w:val="20"/>
          <w:szCs w:val="20"/>
        </w:rPr>
        <w:t>NWIGU asked what assets were held by PGH II.  We responded with the usual “cats and dogs” answer.  A more specific answer to this question would be helpful by our next meeting.</w:t>
      </w:r>
    </w:p>
    <w:p>
      <w:pPr>
        <w:pStyle w:val="Normal"/>
        <w:numPr>
          <w:ilvl w:val="0"/>
          <w:numId w:val="5"/>
        </w:numPr>
        <w:autoSpaceDE w:val="false"/>
        <w:rPr>
          <w:rFonts w:ascii="Arial" w:hAnsi="Arial" w:cs="Arial"/>
          <w:sz w:val="20"/>
          <w:szCs w:val="20"/>
        </w:rPr>
      </w:pPr>
      <w:r>
        <w:rPr>
          <w:rFonts w:cs="Arial" w:ascii="Arial" w:hAnsi="Arial"/>
          <w:sz w:val="20"/>
          <w:szCs w:val="20"/>
        </w:rPr>
        <w:t>Helman asked whether NWN intended to offer any limit on dividending by the utilities.  Ackerman responded that NWN was comfortable with the 48% figure currently in place.  Helman suggested that we examine the Scottish Power condition that started at 38% common equity and increased to 43%.</w:t>
      </w:r>
    </w:p>
    <w:p>
      <w:pPr>
        <w:pStyle w:val="Normal"/>
        <w:numPr>
          <w:ilvl w:val="0"/>
          <w:numId w:val="5"/>
        </w:numPr>
        <w:autoSpaceDE w:val="false"/>
        <w:rPr>
          <w:rFonts w:ascii="Arial" w:hAnsi="Arial" w:cs="Arial"/>
          <w:sz w:val="20"/>
          <w:szCs w:val="20"/>
        </w:rPr>
      </w:pPr>
      <w:r>
        <w:rPr>
          <w:rFonts w:cs="Arial" w:ascii="Arial" w:hAnsi="Arial"/>
          <w:sz w:val="20"/>
          <w:szCs w:val="20"/>
        </w:rPr>
        <w:t xml:space="preserve">Conway asked a number of questions concerning NWN’s plan to issue equity—particularly the follow-on equity issuance after closing.  White responded to these questions by noting the second issuance was planned to bring more equity to HoldCo.  He stated that the rating agencies wanted equity at 30% or more.  </w:t>
      </w:r>
    </w:p>
    <w:p>
      <w:pPr>
        <w:pStyle w:val="Normal"/>
        <w:numPr>
          <w:ilvl w:val="0"/>
          <w:numId w:val="5"/>
        </w:numPr>
        <w:autoSpaceDE w:val="false"/>
        <w:rPr>
          <w:rFonts w:ascii="Arial" w:hAnsi="Arial" w:cs="Arial"/>
          <w:sz w:val="20"/>
          <w:szCs w:val="20"/>
        </w:rPr>
      </w:pPr>
      <w:r>
        <w:rPr>
          <w:rFonts w:cs="Arial" w:ascii="Arial" w:hAnsi="Arial"/>
          <w:sz w:val="20"/>
          <w:szCs w:val="20"/>
        </w:rPr>
        <w:t xml:space="preserve">Helman asked whether NWN would seek treatment for goodwill.  Ackerman responded that she didn’t think that was an issue, but hadn’t received a final answer from the CFO.   We need to make this answer clear and unequivocal at the 11.1 meeting.  </w:t>
      </w:r>
    </w:p>
    <w:p>
      <w:pPr>
        <w:pStyle w:val="Normal"/>
        <w:numPr>
          <w:ilvl w:val="0"/>
          <w:numId w:val="5"/>
        </w:numPr>
        <w:autoSpaceDE w:val="false"/>
        <w:rPr>
          <w:rFonts w:ascii="Arial" w:hAnsi="Arial" w:cs="Arial"/>
          <w:sz w:val="20"/>
          <w:szCs w:val="20"/>
        </w:rPr>
      </w:pPr>
      <w:r>
        <w:rPr>
          <w:rFonts w:cs="Arial" w:ascii="Arial" w:hAnsi="Arial"/>
          <w:sz w:val="20"/>
          <w:szCs w:val="20"/>
        </w:rPr>
        <w:t>Nyegaard asked a number of questions concerning Enron’s investment and whether we were required to get out of the investment.  I answered that the transaction was structured so that we would be out within 5 years.  Our exit was designed to avoid any negative impacts on NWN.  He also asked about board membership.  White responded by saying that board membership was tied to the equity stake and decreased over time (to zero within 5 years).   We need to be crisp on our rights to exit, board rights, by the 11.1 meeting.  We also need to think through what we can say about our role post-5 years if we cannot (or do not) sell our equity investment.</w:t>
      </w:r>
    </w:p>
    <w:p>
      <w:pPr>
        <w:pStyle w:val="Normal"/>
        <w:numPr>
          <w:ilvl w:val="0"/>
          <w:numId w:val="5"/>
        </w:numPr>
        <w:autoSpaceDE w:val="false"/>
        <w:rPr>
          <w:rFonts w:ascii="Arial" w:hAnsi="Arial" w:cs="Arial"/>
          <w:sz w:val="20"/>
          <w:szCs w:val="20"/>
        </w:rPr>
      </w:pPr>
      <w:r>
        <w:rPr>
          <w:rFonts w:cs="Arial" w:ascii="Arial" w:hAnsi="Arial"/>
          <w:sz w:val="20"/>
          <w:szCs w:val="20"/>
        </w:rPr>
        <w:t xml:space="preserve">Cannon asked about synergies.  Ackerman and Morgan responded that we hadn’t finalized our approach to synergies.  We need to be crisp on this issue for the 11.1 meeting.  We do not need to present our final rate plan, but will need to discuss where the synergies are coming from.  I recommend that we fully discuss the pass-through of gas procurement synergies at the 11.1 meeting.  </w:t>
      </w:r>
    </w:p>
    <w:p>
      <w:pPr>
        <w:pStyle w:val="Normal"/>
        <w:numPr>
          <w:ilvl w:val="0"/>
          <w:numId w:val="5"/>
        </w:numPr>
        <w:autoSpaceDE w:val="false"/>
        <w:rPr>
          <w:rFonts w:ascii="Arial" w:hAnsi="Arial" w:cs="Arial"/>
          <w:sz w:val="20"/>
          <w:szCs w:val="20"/>
        </w:rPr>
      </w:pPr>
      <w:r>
        <w:rPr>
          <w:rFonts w:cs="Arial" w:ascii="Arial" w:hAnsi="Arial"/>
          <w:sz w:val="20"/>
          <w:szCs w:val="20"/>
        </w:rPr>
        <w:t xml:space="preserve">Eisdorfer and Pyron both objected to the notion of an expedited schedule.  Eisdorfer stated that “knowing” the parties would help in the negotiation of the case, but wouldn’t help if we ended up litigating the proceeding.  </w:t>
      </w:r>
    </w:p>
    <w:p>
      <w:pPr>
        <w:pStyle w:val="Normal"/>
        <w:numPr>
          <w:ilvl w:val="0"/>
          <w:numId w:val="5"/>
        </w:numPr>
        <w:autoSpaceDE w:val="false"/>
        <w:rPr>
          <w:rFonts w:ascii="Arial" w:hAnsi="Arial" w:cs="Arial"/>
          <w:sz w:val="20"/>
          <w:szCs w:val="20"/>
        </w:rPr>
      </w:pPr>
      <w:r>
        <w:rPr>
          <w:rFonts w:cs="Arial" w:ascii="Arial" w:hAnsi="Arial"/>
          <w:sz w:val="20"/>
          <w:szCs w:val="20"/>
        </w:rPr>
        <w:t xml:space="preserve">Davidson asked whether we would ask for a standard protective order for the proceeding.  She made clear that ICNU will object to any protective order that only allows staff to see documents.  ICNU also asked that we have a data room available for the parties.  </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Next Steps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Finalize rate plan (as a means of setting the course for the 11.1 meeting)</w:t>
      </w:r>
    </w:p>
    <w:p>
      <w:pPr>
        <w:pStyle w:val="Normal"/>
        <w:numPr>
          <w:ilvl w:val="0"/>
          <w:numId w:val="2"/>
        </w:numPr>
        <w:autoSpaceDE w:val="false"/>
        <w:rPr>
          <w:rFonts w:ascii="Arial" w:hAnsi="Arial" w:cs="Arial"/>
          <w:sz w:val="20"/>
          <w:szCs w:val="20"/>
        </w:rPr>
      </w:pPr>
      <w:r>
        <w:rPr>
          <w:rFonts w:cs="Arial" w:ascii="Arial" w:hAnsi="Arial"/>
          <w:sz w:val="20"/>
          <w:szCs w:val="20"/>
        </w:rPr>
        <w:t>Prepare presentations for the 11.1 meeting and run “moot-court” to prepare DeBolt, Piro and Dodson.</w:t>
      </w:r>
    </w:p>
    <w:p>
      <w:pPr>
        <w:pStyle w:val="Normal"/>
        <w:numPr>
          <w:ilvl w:val="0"/>
          <w:numId w:val="2"/>
        </w:numPr>
        <w:autoSpaceDE w:val="false"/>
        <w:rPr>
          <w:rFonts w:ascii="Arial" w:hAnsi="Arial" w:cs="Arial"/>
          <w:sz w:val="20"/>
          <w:szCs w:val="20"/>
        </w:rPr>
      </w:pPr>
      <w:r>
        <w:rPr>
          <w:rFonts w:cs="Arial" w:ascii="Arial" w:hAnsi="Arial"/>
          <w:sz w:val="20"/>
          <w:szCs w:val="20"/>
        </w:rPr>
        <w:t>Develop crisp responses to questions concerning:  (a) Enron’s exit/hold strategy; (b) goodwill; and (c) synergies.</w:t>
      </w:r>
    </w:p>
    <w:p>
      <w:pPr>
        <w:pStyle w:val="Normal"/>
        <w:numPr>
          <w:ilvl w:val="0"/>
          <w:numId w:val="2"/>
        </w:numPr>
        <w:autoSpaceDE w:val="false"/>
        <w:rPr>
          <w:rFonts w:ascii="Arial" w:hAnsi="Arial" w:cs="Arial"/>
          <w:sz w:val="20"/>
          <w:szCs w:val="20"/>
        </w:rPr>
      </w:pPr>
      <w:r>
        <w:rPr>
          <w:rFonts w:cs="Arial" w:ascii="Arial" w:hAnsi="Arial"/>
          <w:sz w:val="20"/>
          <w:szCs w:val="20"/>
        </w:rPr>
        <w:t>Develop testimony for 11.7 filing.</w:t>
      </w:r>
    </w:p>
    <w:p>
      <w:pPr>
        <w:pStyle w:val="Normal"/>
        <w:numPr>
          <w:ilvl w:val="0"/>
          <w:numId w:val="2"/>
        </w:numPr>
        <w:autoSpaceDE w:val="false"/>
        <w:rPr>
          <w:rFonts w:ascii="Arial" w:hAnsi="Arial" w:cs="Arial"/>
          <w:sz w:val="20"/>
          <w:szCs w:val="20"/>
        </w:rPr>
      </w:pPr>
      <w:r>
        <w:rPr>
          <w:rFonts w:cs="Arial" w:ascii="Arial" w:hAnsi="Arial"/>
          <w:sz w:val="20"/>
          <w:szCs w:val="20"/>
        </w:rPr>
        <w:t>Prepare data rooms for NWN and PGE.</w:t>
      </w:r>
    </w:p>
    <w:p>
      <w:pPr>
        <w:pStyle w:val="Normal"/>
        <w:numPr>
          <w:ilvl w:val="0"/>
          <w:numId w:val="2"/>
        </w:numPr>
        <w:autoSpaceDE w:val="false"/>
        <w:rPr>
          <w:rFonts w:ascii="Arial" w:hAnsi="Arial" w:cs="Arial"/>
          <w:sz w:val="20"/>
          <w:szCs w:val="20"/>
        </w:rPr>
      </w:pPr>
      <w:r>
        <w:rPr>
          <w:rFonts w:cs="Arial" w:ascii="Arial" w:hAnsi="Arial"/>
          <w:sz w:val="20"/>
          <w:szCs w:val="20"/>
        </w:rPr>
        <w:t xml:space="preserve">Review confidentiality issues with Enron/PGE and NWN counsel.  </w:t>
      </w:r>
    </w:p>
    <w:p>
      <w:pPr>
        <w:pStyle w:val="Normal"/>
        <w:autoSpaceDE w:val="false"/>
        <w:rPr>
          <w:rFonts w:ascii="Arial" w:hAnsi="Arial" w:cs="Arial"/>
          <w:sz w:val="20"/>
          <w:szCs w:val="20"/>
        </w:rPr>
      </w:pPr>
      <w:r>
        <w:rPr>
          <w:rFonts w:cs="Arial" w:ascii="Arial" w:hAnsi="Arial"/>
          <w:sz w:val="20"/>
          <w:szCs w:val="20"/>
        </w:rPr>
      </w:r>
    </w:p>
    <w:p>
      <w:pPr>
        <w:pStyle w:val="Normal"/>
        <w:autoSpaceDE w:val="false"/>
        <w:jc w:val="center"/>
        <w:rPr>
          <w:rFonts w:ascii="Arial" w:hAnsi="Arial" w:cs="Arial"/>
          <w:sz w:val="20"/>
          <w:szCs w:val="20"/>
        </w:rPr>
      </w:pPr>
      <w:r>
        <w:rPr>
          <w:rFonts w:cs="Arial" w:ascii="Arial" w:hAnsi="Arial"/>
          <w:sz w:val="20"/>
          <w:szCs w:val="20"/>
        </w:rPr>
        <w:t>^^^</w:t>
      </w:r>
    </w:p>
    <w:p>
      <w:pPr>
        <w:pStyle w:val="Normal"/>
        <w:autoSpaceDE w:val="false"/>
        <w:jc w:val="center"/>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I am in Portland all week.  Please contact me with any questions concerning this update.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 xml:space="preserve">CONFIDENTIAL </w:t>
    </w:r>
  </w:p>
  <w:p>
    <w:pPr>
      <w:pStyle w:val="Footer"/>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1">
    <w:name w:val="WW8Num3z1"/>
    <w:qFormat/>
    <w:rPr>
      <w:u w:val="single"/>
    </w:rPr>
  </w:style>
  <w:style w:type="character" w:styleId="DefaultParagraphFont">
    <w:name w:val="Default Paragraph Font"/>
    <w:qFormat/>
    <w:rPr/>
  </w:style>
  <w:style w:type="paragraph" w:styleId="Heading">
    <w:name w:val="Heading"/>
    <w:basedOn w:val="Normal"/>
    <w:next w:val="BodyText"/>
    <w:qFormat/>
    <w:pPr>
      <w:autoSpaceDE w:val="false"/>
      <w:jc w:val="center"/>
    </w:pPr>
    <w:rPr>
      <w:rFonts w:ascii="Arial" w:hAnsi="Arial" w:cs="Arial"/>
      <w:b/>
      <w:bCs/>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2001-10-23T16:27:00Z</dcterms:created>
  <dc:creator>pkaufma</dc:creator>
  <dc:description/>
  <dc:language>en-CA</dc:language>
  <cp:lastModifiedBy>pkaufma</cp:lastModifiedBy>
  <dcterms:modified xsi:type="dcterms:W3CDTF">2001-10-23T16:27:00Z</dcterms:modified>
  <cp:revision>3</cp:revision>
  <dc:subject/>
  <dc:title>Tahoe Update</dc:title>
</cp:coreProperties>
</file>