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04/04/2001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BOEING COMPANY, a corporation organized under the law of the State of Delaware     (“Party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firstLine="720" w:end="0"/>
        <w:jc w:val="both"/>
        <w:rPr/>
      </w:pPr>
      <w:r>
        <w:rPr>
          <w:sz w:val="22"/>
          <w:szCs w:val="22"/>
        </w:rPr>
        <w:t>(a)</w:t>
      </w:r>
      <w:r>
        <w:rPr>
          <w:b/>
          <w:bCs/>
          <w:sz w:val="22"/>
          <w:szCs w:val="22"/>
        </w:rPr>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firstLine="720" w:end="0"/>
        <w:jc w:val="both"/>
        <w:rPr/>
      </w:pPr>
      <w:r>
        <w:rPr>
          <w:sz w:val="22"/>
          <w:szCs w:val="22"/>
        </w:rPr>
        <w:t>(b)</w:t>
      </w:r>
      <w:r>
        <w:rPr>
          <w:b/>
          <w:bCs/>
          <w:sz w:val="22"/>
          <w:szCs w:val="22"/>
        </w:rPr>
        <w:tab/>
        <w:t>Payee Representations.</w:t>
      </w:r>
      <w:r>
        <w:rPr>
          <w:sz w:val="22"/>
          <w:szCs w:val="22"/>
        </w:rPr>
        <w:t xml:space="preserve">  For the purpose of Section 3(f), Party A and Party B make the following representations:</w:t>
      </w:r>
    </w:p>
    <w:p>
      <w:pPr>
        <w:pStyle w:val="Normal"/>
        <w:spacing w:lineRule="exact" w:line="240" w:before="240" w:after="0"/>
        <w:ind w:hanging="180" w:start="900" w:end="0"/>
        <w:jc w:val="both"/>
        <w:rPr>
          <w:sz w:val="22"/>
          <w:szCs w:val="22"/>
        </w:rPr>
      </w:pPr>
      <w:r>
        <w:rPr>
          <w:sz w:val="22"/>
          <w:szCs w:val="22"/>
        </w:rPr>
        <w:t>(i)</w:t>
        <w:tab/>
        <w:t>The following representation applies to Party A:</w:t>
      </w:r>
    </w:p>
    <w:p>
      <w:pPr>
        <w:pStyle w:val="Normal"/>
        <w:spacing w:lineRule="exact" w:line="240" w:before="240" w:after="0"/>
        <w:ind w:firstLine="540"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180" w:start="900" w:end="0"/>
        <w:jc w:val="both"/>
        <w:rPr>
          <w:sz w:val="22"/>
          <w:szCs w:val="22"/>
        </w:rPr>
      </w:pPr>
      <w:r>
        <w:rPr>
          <w:sz w:val="22"/>
          <w:szCs w:val="22"/>
        </w:rPr>
        <w:t>(ii)</w:t>
        <w:tab/>
        <w:t>The following representation applies to Party B:</w:t>
      </w:r>
    </w:p>
    <w:p>
      <w:pPr>
        <w:pStyle w:val="Normal"/>
        <w:spacing w:lineRule="exact" w:line="240" w:before="240" w:after="0"/>
        <w:ind w:firstLine="540" w:start="900" w:end="0"/>
        <w:jc w:val="both"/>
        <w:rPr>
          <w:sz w:val="22"/>
          <w:szCs w:val="22"/>
        </w:rPr>
      </w:pPr>
      <w:r>
        <w:rPr>
          <w:sz w:val="22"/>
          <w:szCs w:val="22"/>
        </w:rPr>
        <w:t>Party B is a corporation organized under the laws of the State of Delaware.</w:t>
      </w:r>
    </w:p>
    <w:p>
      <w:pPr>
        <w:pStyle w:val="Normal"/>
        <w:keepNext w:val="true"/>
        <w:spacing w:lineRule="exact" w:line="240" w:before="240" w:after="0"/>
        <w:jc w:val="both"/>
        <w:rPr>
          <w:sz w:val="22"/>
          <w:szCs w:val="22"/>
        </w:rPr>
      </w:pPr>
      <w:r>
        <w:rPr>
          <w:color w:val="FF0000"/>
          <w:sz w:val="22"/>
          <w:szCs w:val="22"/>
        </w:rPr>
        <w:t xml:space="preserve"> </w:t>
      </w:r>
      <w:r>
        <w:rPr>
          <w:b/>
          <w:bCs/>
          <w:sz w:val="22"/>
          <w:szCs w:val="22"/>
        </w:rPr>
        <w:t>Part 3.  Agreement to Deliver Documents.</w:t>
      </w:r>
    </w:p>
    <w:p>
      <w:pPr>
        <w:pStyle w:val="Normal"/>
        <w:keepNext w:val="true"/>
        <w:spacing w:lineRule="exact" w:line="240" w:before="240" w:after="0"/>
        <w:ind w:firstLine="720" w:end="0"/>
        <w:jc w:val="both"/>
        <w:rPr/>
      </w:pPr>
      <w:r>
        <w:rPr/>
        <w:t>For the purpose of Section 4(a), each party agrees to deliver the following documents, as applicable: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keepNext w:val="true"/>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keepNext w:val="true"/>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keepNext w:val="true"/>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keepNext w:val="true"/>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keepNext w:val="true"/>
              <w:spacing w:lineRule="atLeast" w:line="240" w:before="240" w:after="0"/>
              <w:jc w:val="both"/>
              <w:rPr>
                <w:b/>
                <w:bCs/>
                <w:sz w:val="22"/>
                <w:szCs w:val="22"/>
              </w:rPr>
            </w:pPr>
            <w:r>
              <w:rPr>
                <w:sz w:val="22"/>
                <w:szCs w:val="22"/>
              </w:rPr>
              <w:t>Party A</w:t>
            </w:r>
          </w:p>
        </w:tc>
        <w:tc>
          <w:tcPr>
            <w:tcW w:w="3886" w:type="dxa"/>
            <w:tcBorders/>
          </w:tcPr>
          <w:p>
            <w:pPr>
              <w:pStyle w:val="Justified"/>
              <w:keepNext w:val="true"/>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keepNext w:val="true"/>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keepNext w:val="true"/>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Normal"/>
              <w:tabs>
                <w:tab w:val="clear" w:pos="720"/>
                <w:tab w:val="left" w:pos="990" w:leader="none"/>
              </w:tabs>
              <w:spacing w:lineRule="exact" w:line="240" w:before="240" w:after="0"/>
              <w:jc w:val="both"/>
              <w:rPr>
                <w:color w:val="FF0000"/>
                <w:sz w:val="22"/>
                <w:szCs w:val="22"/>
              </w:rPr>
            </w:pPr>
            <w:r>
              <w:rPr>
                <w:sz w:val="22"/>
                <w:szCs w:val="22"/>
              </w:rPr>
              <w:t>United States Internal Revenue Service Form W</w:t>
              <w:noBreakHyphen/>
              <w:t>9</w:t>
            </w:r>
          </w:p>
          <w:p>
            <w:pPr>
              <w:pStyle w:val="Justified"/>
              <w:keepNext w:val="true"/>
              <w:widowControl/>
              <w:spacing w:lineRule="atLeast" w:line="240" w:before="240" w:after="0"/>
              <w:rPr>
                <w:rFonts w:ascii="Times New Roman" w:hAnsi="Times New Roman" w:cs="Times New Roman"/>
                <w:color w:val="FF0000"/>
                <w:sz w:val="22"/>
                <w:szCs w:val="22"/>
              </w:rPr>
            </w:pPr>
            <w:r>
              <w:rPr>
                <w:rFonts w:cs="Times New Roman" w:ascii="Times New Roman" w:hAnsi="Times New Roman"/>
                <w:color w:val="FF0000"/>
                <w:sz w:val="22"/>
                <w:szCs w:val="22"/>
              </w:rPr>
            </w:r>
          </w:p>
        </w:tc>
        <w:tc>
          <w:tcPr>
            <w:tcW w:w="2228" w:type="dxa"/>
            <w:tcBorders/>
          </w:tcPr>
          <w:p>
            <w:pPr>
              <w:pStyle w:val="Normal"/>
              <w:keepNext w:val="true"/>
              <w:spacing w:lineRule="atLeast" w:line="240" w:before="240" w:after="0"/>
              <w:jc w:val="both"/>
              <w:rPr>
                <w:sz w:val="22"/>
                <w:szCs w:val="22"/>
              </w:rPr>
            </w:pPr>
            <w:r>
              <w:rPr>
                <w:sz w:val="22"/>
                <w:szCs w:val="22"/>
              </w:rPr>
              <w:t xml:space="preserve">At execution of this Master Agreement and as otherwise provided in this Part 3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Boeing Company</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7755 East Marginal Way South</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Seattle, Washington  98108</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jc w:val="both"/>
        <w:rPr>
          <w:b/>
          <w:bCs/>
          <w:sz w:val="22"/>
          <w:szCs w:val="22"/>
        </w:rPr>
      </w:pPr>
      <w:r>
        <w:rPr>
          <w:b/>
          <w:bCs/>
          <w:sz w:val="22"/>
          <w:szCs w:val="22"/>
        </w:rPr>
      </w:r>
    </w:p>
    <w:p>
      <w:pPr>
        <w:pStyle w:val="Normal"/>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 xml:space="preserve">(n)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spacing w:lineRule="exact" w:line="240" w:before="24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szCs w:val="22"/>
              </w:rPr>
            </w:pPr>
            <w:r>
              <w:rPr>
                <w:b/>
                <w:bCs/>
                <w:sz w:val="22"/>
                <w:szCs w:val="22"/>
              </w:rPr>
              <w:t>ENRON NORTH AMERICA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Heading4"/>
              <w:tabs>
                <w:tab w:val="clear" w:pos="1080"/>
              </w:tabs>
              <w:spacing w:lineRule="exact" w:line="240"/>
              <w:ind w:hanging="0" w:start="0"/>
              <w:rPr/>
            </w:pPr>
            <w:r>
              <w:rPr/>
              <w:t>BOEING COMPANY</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Heading5"/>
        <w:ind w:hanging="0" w:start="0"/>
        <w:rPr>
          <w:color w:val="000000"/>
        </w:rPr>
      </w:pPr>
      <w:r>
        <w:rPr>
          <w:color w:val="000000"/>
        </w:rPr>
        <w:t>DRAFT OF 04/04/2001</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BOEING COMPANY, a corporation organized under the law of the State of Delaware     (“Party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keepNext w:val="true"/>
        <w:ind w:start="720" w:end="0"/>
        <w:jc w:val="both"/>
        <w:rPr>
          <w:color w:val="FF0000"/>
          <w:sz w:val="22"/>
          <w:szCs w:val="22"/>
        </w:rPr>
      </w:pPr>
      <w:r>
        <w:rPr>
          <w:color w:val="000000"/>
          <w:sz w:val="22"/>
          <w:szCs w:val="22"/>
        </w:rPr>
        <w:t xml:space="preserve">(B)  </w:t>
      </w:r>
      <w:r>
        <w:rPr>
          <w:b/>
          <w:bCs/>
          <w:color w:val="000000"/>
          <w:sz w:val="22"/>
          <w:szCs w:val="22"/>
        </w:rPr>
        <w:t>“Threshold”</w:t>
      </w:r>
      <w:r>
        <w:rPr>
          <w:color w:val="000000"/>
          <w:sz w:val="22"/>
          <w:szCs w:val="22"/>
        </w:rPr>
        <w:t xml:space="preserve"> means, with respect to a party (a) the amount set forth opposite the lowest Credit Rating for the party (or in the case of Party A, Enron Corp.) on the relevant date of determination; or (b) zero if on the relevant date of determination (i) the entity referred to in clause (a) above does not have a Credit Rating from both S&amp;P and Moody's, or (ii) an Event of Default or Potential Event of Default with respect to such party has occurred and is continuing:</w:t>
      </w:r>
    </w:p>
    <w:p>
      <w:pPr>
        <w:pStyle w:val="Normal"/>
        <w:keepNext w:val="true"/>
        <w:ind w:hanging="720" w:start="2160" w:end="0"/>
        <w:jc w:val="both"/>
        <w:rPr>
          <w:color w:val="FF0000"/>
          <w:sz w:val="22"/>
          <w:szCs w:val="22"/>
        </w:rPr>
      </w:pPr>
      <w:r>
        <w:rPr>
          <w:color w:val="FF0000"/>
          <w:sz w:val="22"/>
          <w:szCs w:val="22"/>
        </w:rPr>
      </w:r>
    </w:p>
    <w:tbl>
      <w:tblPr>
        <w:tblW w:w="7380" w:type="dxa"/>
        <w:jc w:val="start"/>
        <w:tblInd w:w="2088" w:type="dxa"/>
        <w:tblLayout w:type="fixed"/>
        <w:tblCellMar>
          <w:top w:w="0" w:type="dxa"/>
          <w:start w:w="108" w:type="dxa"/>
          <w:bottom w:w="0" w:type="dxa"/>
          <w:end w:w="108" w:type="dxa"/>
        </w:tblCellMar>
      </w:tblPr>
      <w:tblGrid>
        <w:gridCol w:w="2520"/>
        <w:gridCol w:w="2381"/>
        <w:gridCol w:w="2479"/>
      </w:tblGrid>
      <w:tr>
        <w:trPr/>
        <w:tc>
          <w:tcPr>
            <w:tcW w:w="2520" w:type="dxa"/>
            <w:tcBorders/>
          </w:tcPr>
          <w:p>
            <w:pPr>
              <w:pStyle w:val="Normal"/>
              <w:keepNext w:val="true"/>
              <w:rPr>
                <w:sz w:val="22"/>
                <w:szCs w:val="22"/>
              </w:rPr>
            </w:pPr>
            <w:r>
              <w:rPr>
                <w:b/>
                <w:bCs/>
                <w:sz w:val="22"/>
                <w:szCs w:val="22"/>
                <w:u w:val="single"/>
              </w:rPr>
              <w:t>THRESHOLD</w:t>
            </w:r>
          </w:p>
        </w:tc>
        <w:tc>
          <w:tcPr>
            <w:tcW w:w="2381" w:type="dxa"/>
            <w:tcBorders/>
          </w:tcPr>
          <w:p>
            <w:pPr>
              <w:pStyle w:val="BodyTextIndent2"/>
              <w:keepNext w:val="true"/>
              <w:ind w:hanging="0" w:end="0"/>
              <w:jc w:val="center"/>
              <w:rPr>
                <w:b/>
                <w:bCs/>
                <w:u w:val="single"/>
              </w:rPr>
            </w:pPr>
            <w:r>
              <w:rPr>
                <w:b/>
                <w:bCs/>
                <w:u w:val="single"/>
              </w:rPr>
              <w:t>S&amp;P CREDIT RATING</w:t>
            </w:r>
          </w:p>
          <w:p>
            <w:pPr>
              <w:pStyle w:val="Normal"/>
              <w:keepNext w:val="true"/>
              <w:ind w:start="-18" w:end="0"/>
              <w:rPr>
                <w:b/>
                <w:bCs/>
                <w:sz w:val="22"/>
                <w:szCs w:val="22"/>
                <w:u w:val="single"/>
              </w:rPr>
            </w:pPr>
            <w:r>
              <w:rPr>
                <w:b/>
                <w:bCs/>
                <w:sz w:val="22"/>
                <w:szCs w:val="22"/>
                <w:u w:val="single"/>
              </w:rPr>
            </w:r>
          </w:p>
        </w:tc>
        <w:tc>
          <w:tcPr>
            <w:tcW w:w="2479" w:type="dxa"/>
            <w:tcBorders/>
          </w:tcPr>
          <w:p>
            <w:pPr>
              <w:pStyle w:val="Normal"/>
              <w:keepNext w:val="true"/>
              <w:rPr>
                <w:b/>
                <w:bCs/>
                <w:sz w:val="22"/>
                <w:szCs w:val="22"/>
                <w:u w:val="single"/>
              </w:rPr>
            </w:pPr>
            <w:r>
              <w:rPr>
                <w:b/>
                <w:bCs/>
                <w:sz w:val="22"/>
                <w:szCs w:val="22"/>
                <w:u w:val="single"/>
              </w:rPr>
              <w:t>MOODY'S CREDIT RATING</w:t>
            </w:r>
          </w:p>
          <w:p>
            <w:pPr>
              <w:pStyle w:val="Normal"/>
              <w:keepNext w:val="true"/>
              <w:rPr>
                <w:b/>
                <w:bCs/>
                <w:sz w:val="22"/>
                <w:szCs w:val="22"/>
                <w:u w:val="single"/>
              </w:rPr>
            </w:pPr>
            <w:r>
              <w:rPr>
                <w:b/>
                <w:bCs/>
                <w:sz w:val="22"/>
                <w:szCs w:val="22"/>
                <w:u w:val="single"/>
              </w:rPr>
            </w:r>
          </w:p>
        </w:tc>
      </w:tr>
      <w:tr>
        <w:trPr/>
        <w:tc>
          <w:tcPr>
            <w:tcW w:w="2520" w:type="dxa"/>
            <w:tcBorders/>
          </w:tcPr>
          <w:p>
            <w:pPr>
              <w:pStyle w:val="Normal"/>
              <w:keepNext w:val="true"/>
              <w:rPr>
                <w:sz w:val="22"/>
                <w:szCs w:val="22"/>
              </w:rPr>
            </w:pPr>
            <w:r>
              <w:rPr>
                <w:sz w:val="22"/>
                <w:szCs w:val="22"/>
              </w:rPr>
              <w:t>U.S. $ 75,000,000</w:t>
            </w:r>
          </w:p>
        </w:tc>
        <w:tc>
          <w:tcPr>
            <w:tcW w:w="2381" w:type="dxa"/>
            <w:tcBorders/>
          </w:tcPr>
          <w:p>
            <w:pPr>
              <w:pStyle w:val="Normal"/>
              <w:keepNext w:val="true"/>
              <w:ind w:start="-18" w:end="0"/>
              <w:rPr>
                <w:sz w:val="22"/>
                <w:szCs w:val="22"/>
              </w:rPr>
            </w:pPr>
            <w:r>
              <w:rPr>
                <w:sz w:val="22"/>
                <w:szCs w:val="22"/>
              </w:rPr>
              <w:t>AA- (or above)</w:t>
            </w:r>
          </w:p>
        </w:tc>
        <w:tc>
          <w:tcPr>
            <w:tcW w:w="2479" w:type="dxa"/>
            <w:tcBorders/>
          </w:tcPr>
          <w:p>
            <w:pPr>
              <w:pStyle w:val="Normal"/>
              <w:keepNext w:val="true"/>
              <w:rPr>
                <w:sz w:val="22"/>
                <w:szCs w:val="22"/>
              </w:rPr>
            </w:pPr>
            <w:r>
              <w:rPr>
                <w:sz w:val="22"/>
                <w:szCs w:val="22"/>
              </w:rPr>
              <w:t>Aa3 (or above)</w:t>
            </w:r>
          </w:p>
        </w:tc>
      </w:tr>
      <w:tr>
        <w:trPr/>
        <w:tc>
          <w:tcPr>
            <w:tcW w:w="2520" w:type="dxa"/>
            <w:tcBorders/>
          </w:tcPr>
          <w:p>
            <w:pPr>
              <w:pStyle w:val="Normal"/>
              <w:keepNext w:val="true"/>
              <w:rPr>
                <w:sz w:val="22"/>
                <w:szCs w:val="22"/>
              </w:rPr>
            </w:pPr>
            <w:r>
              <w:rPr>
                <w:sz w:val="22"/>
                <w:szCs w:val="22"/>
              </w:rPr>
              <w:t>U.S. $ 60,000,000</w:t>
            </w:r>
          </w:p>
        </w:tc>
        <w:tc>
          <w:tcPr>
            <w:tcW w:w="2381" w:type="dxa"/>
            <w:tcBorders/>
          </w:tcPr>
          <w:p>
            <w:pPr>
              <w:pStyle w:val="Normal"/>
              <w:keepNext w:val="true"/>
              <w:ind w:start="-18" w:end="0"/>
              <w:rPr>
                <w:sz w:val="22"/>
                <w:szCs w:val="22"/>
              </w:rPr>
            </w:pPr>
            <w:r>
              <w:rPr>
                <w:sz w:val="22"/>
                <w:szCs w:val="22"/>
              </w:rPr>
              <w:t>A or A+</w:t>
            </w:r>
          </w:p>
        </w:tc>
        <w:tc>
          <w:tcPr>
            <w:tcW w:w="2479" w:type="dxa"/>
            <w:tcBorders/>
          </w:tcPr>
          <w:p>
            <w:pPr>
              <w:pStyle w:val="Normal"/>
              <w:keepNext w:val="true"/>
              <w:rPr>
                <w:sz w:val="22"/>
                <w:szCs w:val="22"/>
              </w:rPr>
            </w:pPr>
            <w:r>
              <w:rPr>
                <w:sz w:val="22"/>
                <w:szCs w:val="22"/>
              </w:rPr>
              <w:t>A2 or A1</w:t>
            </w:r>
          </w:p>
        </w:tc>
      </w:tr>
      <w:tr>
        <w:trPr/>
        <w:tc>
          <w:tcPr>
            <w:tcW w:w="2520" w:type="dxa"/>
            <w:tcBorders/>
          </w:tcPr>
          <w:p>
            <w:pPr>
              <w:pStyle w:val="Normal"/>
              <w:keepNext w:val="true"/>
              <w:rPr>
                <w:sz w:val="22"/>
                <w:szCs w:val="22"/>
              </w:rPr>
            </w:pPr>
            <w:r>
              <w:rPr>
                <w:sz w:val="22"/>
                <w:szCs w:val="22"/>
              </w:rPr>
              <w:t>U.S. $ 50,000,000</w:t>
            </w:r>
          </w:p>
        </w:tc>
        <w:tc>
          <w:tcPr>
            <w:tcW w:w="2381" w:type="dxa"/>
            <w:tcBorders/>
          </w:tcPr>
          <w:p>
            <w:pPr>
              <w:pStyle w:val="Normal"/>
              <w:keepNext w:val="true"/>
              <w:ind w:start="-18" w:end="0"/>
              <w:rPr>
                <w:sz w:val="22"/>
                <w:szCs w:val="22"/>
              </w:rPr>
            </w:pPr>
            <w:r>
              <w:rPr>
                <w:sz w:val="22"/>
                <w:szCs w:val="22"/>
              </w:rPr>
              <w:t>BBB+ or A-</w:t>
            </w:r>
          </w:p>
        </w:tc>
        <w:tc>
          <w:tcPr>
            <w:tcW w:w="2479" w:type="dxa"/>
            <w:tcBorders/>
          </w:tcPr>
          <w:p>
            <w:pPr>
              <w:pStyle w:val="Normal"/>
              <w:keepNext w:val="true"/>
              <w:rPr>
                <w:sz w:val="22"/>
                <w:szCs w:val="22"/>
              </w:rPr>
            </w:pPr>
            <w:r>
              <w:rPr>
                <w:sz w:val="22"/>
                <w:szCs w:val="22"/>
              </w:rPr>
              <w:t>Baa1 or A3</w:t>
            </w:r>
          </w:p>
        </w:tc>
      </w:tr>
      <w:tr>
        <w:trPr/>
        <w:tc>
          <w:tcPr>
            <w:tcW w:w="2520" w:type="dxa"/>
            <w:tcBorders/>
          </w:tcPr>
          <w:p>
            <w:pPr>
              <w:pStyle w:val="Normal"/>
              <w:keepNext w:val="true"/>
              <w:rPr>
                <w:sz w:val="22"/>
                <w:szCs w:val="22"/>
              </w:rPr>
            </w:pPr>
            <w:r>
              <w:rPr>
                <w:sz w:val="22"/>
                <w:szCs w:val="22"/>
              </w:rPr>
              <w:t>U.S. $ 30,000,000</w:t>
            </w:r>
          </w:p>
        </w:tc>
        <w:tc>
          <w:tcPr>
            <w:tcW w:w="2381" w:type="dxa"/>
            <w:tcBorders/>
          </w:tcPr>
          <w:p>
            <w:pPr>
              <w:pStyle w:val="Normal"/>
              <w:keepNext w:val="true"/>
              <w:ind w:start="-18" w:end="0"/>
              <w:rPr>
                <w:sz w:val="22"/>
                <w:szCs w:val="22"/>
              </w:rPr>
            </w:pPr>
            <w:r>
              <w:rPr>
                <w:sz w:val="22"/>
                <w:szCs w:val="22"/>
              </w:rPr>
              <w:t xml:space="preserve">BBB- or BBB </w:t>
            </w:r>
          </w:p>
        </w:tc>
        <w:tc>
          <w:tcPr>
            <w:tcW w:w="2479" w:type="dxa"/>
            <w:tcBorders/>
          </w:tcPr>
          <w:p>
            <w:pPr>
              <w:pStyle w:val="Normal"/>
              <w:keepNext w:val="true"/>
              <w:rPr>
                <w:sz w:val="22"/>
                <w:szCs w:val="22"/>
              </w:rPr>
            </w:pPr>
            <w:r>
              <w:rPr>
                <w:sz w:val="22"/>
                <w:szCs w:val="22"/>
              </w:rPr>
              <w:t>Baa3 or Baa2</w:t>
            </w:r>
          </w:p>
        </w:tc>
      </w:tr>
      <w:tr>
        <w:trPr/>
        <w:tc>
          <w:tcPr>
            <w:tcW w:w="2520" w:type="dxa"/>
            <w:tcBorders/>
          </w:tcPr>
          <w:p>
            <w:pPr>
              <w:pStyle w:val="Normal"/>
              <w:keepNext w:val="true"/>
              <w:rPr>
                <w:sz w:val="22"/>
                <w:szCs w:val="22"/>
              </w:rPr>
            </w:pPr>
            <w:r>
              <w:rPr>
                <w:sz w:val="22"/>
                <w:szCs w:val="22"/>
              </w:rPr>
              <w:t>U.S. $ 0</w:t>
            </w:r>
          </w:p>
        </w:tc>
        <w:tc>
          <w:tcPr>
            <w:tcW w:w="2381" w:type="dxa"/>
            <w:tcBorders/>
          </w:tcPr>
          <w:p>
            <w:pPr>
              <w:pStyle w:val="Normal"/>
              <w:keepNext w:val="true"/>
              <w:ind w:start="-18" w:end="0"/>
              <w:rPr>
                <w:sz w:val="22"/>
                <w:szCs w:val="22"/>
              </w:rPr>
            </w:pPr>
            <w:r>
              <w:rPr>
                <w:sz w:val="22"/>
                <w:szCs w:val="22"/>
              </w:rPr>
              <w:t>BB+ or below</w:t>
            </w:r>
          </w:p>
        </w:tc>
        <w:tc>
          <w:tcPr>
            <w:tcW w:w="2479" w:type="dxa"/>
            <w:tcBorders/>
          </w:tcPr>
          <w:p>
            <w:pPr>
              <w:pStyle w:val="Normal"/>
              <w:keepNext w:val="true"/>
              <w:rPr>
                <w:sz w:val="22"/>
                <w:szCs w:val="22"/>
              </w:rPr>
            </w:pPr>
            <w:r>
              <w:rPr>
                <w:sz w:val="22"/>
                <w:szCs w:val="22"/>
              </w:rPr>
              <w:t>Ba1 or below</w:t>
            </w:r>
          </w:p>
        </w:tc>
      </w:tr>
    </w:tbl>
    <w:p>
      <w:pPr>
        <w:pStyle w:val="Normal"/>
        <w:keepNext w:val="true"/>
        <w:ind w:hanging="720" w:start="216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$250,000 </w:t>
      </w:r>
      <w:r>
        <w:rPr>
          <w:sz w:val="22"/>
          <w:szCs w:val="22"/>
        </w:rPr>
        <w:t xml:space="preserve">and the Return Amount will be rounded down to the nearest integral multiple of U.S. </w:t>
      </w:r>
      <w:r>
        <w:rPr>
          <w:color w:val="000000"/>
          <w:sz w:val="22"/>
          <w:szCs w:val="22"/>
        </w:rPr>
        <w:t>$250,000.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r>
              <w:rPr>
                <w:rStyle w:val="FootnoteCharacters"/>
                <w:color w:val="FF0000"/>
                <w:sz w:val="22"/>
                <w:szCs w:val="22"/>
              </w:rPr>
              <w:t xml:space="preserve"> </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Party A’s Credit Support Provider has a Credit Rating from S&amp;P and the lowest Credit Rating for Party A’s Credit Support Provider is “BBB-” or higher by S&amp;P or “Baa3” or higher by Moody’s.</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pPr>
      <w:r>
        <w:rPr>
          <w:sz w:val="22"/>
          <w:szCs w:val="22"/>
        </w:rPr>
        <w:t>(1) Party B is not a Defaulting Party and it has a Credit Rating</w:t>
      </w:r>
      <w:r>
        <w:rPr>
          <w:color w:val="000000"/>
          <w:sz w:val="22"/>
          <w:szCs w:val="22"/>
        </w:rPr>
        <w:t xml:space="preserve"> from S&amp;P</w:t>
      </w:r>
      <w:r>
        <w:rPr>
          <w:sz w:val="22"/>
          <w:szCs w:val="22"/>
        </w:rPr>
        <w:t xml:space="preserve"> and the lowest Credit Rating for it is “BBB-” or higher by S&amp;P or “Baa3” or higher by Moody’s.</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color w:val="993300"/>
          <w:sz w:val="22"/>
          <w:szCs w:val="22"/>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color w:val="FF0000"/>
          <w:sz w:val="22"/>
          <w:szCs w:val="22"/>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ind w:start="720" w:end="0"/>
        <w:jc w:val="both"/>
        <w:rPr>
          <w:color w:val="FF0000"/>
          <w:sz w:val="22"/>
          <w:szCs w:val="22"/>
        </w:rPr>
      </w:pPr>
      <w:r>
        <w:rPr>
          <w:color w:val="FF0000"/>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t xml:space="preserve"> </w:t>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 or below “Baa3” by Moody’s or its Credit Support Provider fails to have a Credit Rating from both S&amp;P and Moody’s; or (b) with respect to Party B, its Credit Rating is below “BBB-” by S&amp;P or below “Baa3” by Moody’s or it fails to have a Credit Rating from both S&amp;P and Moody’s.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080" w:right="1080" w:gutter="0" w:header="720" w:top="1080" w:footer="720" w:bottom="1080"/>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xml:space="preserve">, 2001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WHEREAS, BOEING COMPANY, a Delaware corporation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$55,000,000.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Boeing Company</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7755 East Marginal Way South</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Seattle, Washington  98108</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9.  </w:t>
      </w:r>
      <w:r>
        <w:rPr>
          <w:sz w:val="22"/>
          <w:szCs w:val="22"/>
          <w:u w:val="single"/>
        </w:rPr>
        <w:t>DEFINED TERMS</w:t>
      </w:r>
      <w:r>
        <w:rPr>
          <w:sz w:val="22"/>
          <w:szCs w:val="22"/>
        </w:rPr>
        <w:t>.  Capitalized terms used herein and not otherwise defined herein shall have the meanings given to such terms in the Master Agreement.</w:t>
        <w:tab/>
        <w:tab/>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sectPr>
      <w:headerReference w:type="default" r:id="rId12"/>
      <w:headerReference w:type="first" r:id="rId13"/>
      <w:footerReference w:type="default" r:id="rId14"/>
      <w:footerReference w:type="first" r:id="rId15"/>
      <w:type w:val="nextPage"/>
      <w:pgSz w:w="12240" w:h="15840"/>
      <w:pgMar w:left="1080" w:right="1080" w:gutter="0" w:header="720" w:top="1080" w:footer="72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2"/>
        <w:szCs w:val="16"/>
      </w:rPr>
      <w:fldChar w:fldCharType="begin"/>
    </w:r>
    <w:r>
      <w:rPr>
        <w:rStyle w:val="PageNumber"/>
        <w:sz w:val="12"/>
        <w:szCs w:val="16"/>
      </w:rPr>
      <w:instrText xml:space="preserve"> FILENAME \p </w:instrText>
    </w:r>
    <w:r>
      <w:rPr>
        <w:rStyle w:val="PageNumber"/>
        <w:sz w:val="12"/>
        <w:szCs w:val="16"/>
      </w:rPr>
      <w:fldChar w:fldCharType="separate"/>
    </w:r>
    <w:r>
      <w:rPr>
        <w:rStyle w:val="PageNumber"/>
        <w:sz w:val="12"/>
        <w:szCs w:val="16"/>
      </w:rPr>
      <w:t>/mnt/main-storage/datasets/enron-docs/doc/101ctr_boeing_.doc</w:t>
    </w:r>
    <w:r>
      <w:rPr>
        <w:rStyle w:val="PageNumber"/>
        <w:sz w:val="12"/>
        <w:szCs w:val="16"/>
      </w:rPr>
      <w:fldChar w:fldCharType="end"/>
    </w:r>
    <w:r>
      <mc:AlternateContent>
        <mc:Choice Requires="wps">
          <w:drawing>
            <wp:anchor behindDoc="0" distT="0" distB="0" distL="0" distR="0" simplePos="0" locked="0" layoutInCell="0" allowOverlap="1" relativeHeight="11">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/mnt/main-storage/datasets/enron-docs/doc/101ctr_boeing_.doc</w:t>
    </w:r>
    <w:r>
      <w:rPr>
        <w:sz w:val="12"/>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/mnt/main-storage/datasets/enron-docs/doc/101ctr_boeing_.doc</w:t>
    </w:r>
    <w:r>
      <w:rPr>
        <w:sz w:val="12"/>
        <w:szCs w:val="16"/>
      </w:rPr>
      <w:fldChar w:fldCharType="end"/>
    </w:r>
  </w:p>
  <w:p>
    <w:pPr>
      <w:pStyle w:val="Normal"/>
      <w:rPr>
        <w:sz w:val="12"/>
        <w:szCs w:val="16"/>
      </w:rPr>
    </w:pPr>
    <w:r>
      <w:rPr>
        <w:sz w:val="12"/>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/mnt/main-storage/datasets/enron-docs/doc/101ctr_boeing_.doc</w:t>
    </w:r>
    <w:r>
      <w:rPr>
        <w:sz w:val="12"/>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/mnt/main-storage/datasets/enron-docs/doc/101ctr_boeing_.doc</w:t>
    </w:r>
    <w:r>
      <w:rPr>
        <w:sz w:val="12"/>
        <w:szCs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2001-04-04T16:10:00Z</dcterms:created>
  <dc:creator>mheard</dc:creator>
  <dc:description/>
  <dc:language>en-CA</dc:language>
  <cp:lastModifiedBy>spanus</cp:lastModifiedBy>
  <cp:lastPrinted>2001-04-04T16:43:00Z</cp:lastPrinted>
  <dcterms:modified xsi:type="dcterms:W3CDTF">2001-04-04T19:14:00Z</dcterms:modified>
  <cp:revision>6</cp:revision>
  <dc:subject/>
  <dc:title>ISDA Multicurrency Agreement</dc:title>
</cp:coreProperties>
</file>