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 xml:space="preserve">Given the questions that have arisen over the past few days, it is clear to me that we should have directed more attention to the reduction in Enron’s shareholders’ equity account when we released earnings earlier this week.  Many of the questions and concerns have centered on the involvement of the LJM partnership in certain structured finance vehicles we terminated in the third quarter.  We take the concerns expressed by our investors, and those reflected in recent media accounts, very seriously.  I want to remind and assure investors of the following:  </w:t>
      </w:r>
    </w:p>
    <w:p>
      <w:pPr>
        <w:pStyle w:val="Normal"/>
        <w:rPr/>
      </w:pPr>
      <w:r>
        <w:rPr/>
      </w:r>
    </w:p>
    <w:p>
      <w:pPr>
        <w:pStyle w:val="Normal"/>
        <w:numPr>
          <w:ilvl w:val="0"/>
          <w:numId w:val="1"/>
        </w:numPr>
        <w:rPr/>
      </w:pPr>
      <w:r>
        <w:rPr/>
        <w:t>The transactions involving LJM were fully reviewed, determined to be in the best interests of our investors, and fully and properly disclosed.</w:t>
      </w:r>
    </w:p>
    <w:p>
      <w:pPr>
        <w:pStyle w:val="Normal"/>
        <w:numPr>
          <w:ilvl w:val="0"/>
          <w:numId w:val="1"/>
        </w:numPr>
        <w:rPr/>
      </w:pPr>
      <w:r>
        <w:rPr/>
        <w:t>We recently asked outside counsel to conduct a further review.  That review confirmed the adequacy of our processes and disclosures.</w:t>
      </w:r>
    </w:p>
    <w:p>
      <w:pPr>
        <w:pStyle w:val="Normal"/>
        <w:numPr>
          <w:ilvl w:val="0"/>
          <w:numId w:val="1"/>
        </w:numPr>
        <w:rPr/>
      </w:pPr>
      <w:r>
        <w:rPr/>
        <w:t xml:space="preserve">Several months ago Andrew Fastow, Enron’s CFO, terminated his relationship with LJM.  Consequently, LJM is no longer a related party to Enron.  </w:t>
      </w:r>
    </w:p>
    <w:p>
      <w:pPr>
        <w:pStyle w:val="Normal"/>
        <w:rPr/>
      </w:pPr>
      <w:r>
        <w:rPr/>
      </w:r>
    </w:p>
    <w:p>
      <w:pPr>
        <w:pStyle w:val="BodyTextIndent"/>
        <w:rPr/>
      </w:pPr>
      <w:r>
        <w:rPr/>
        <w:t>I also want to report that Enron has received an informal inquiry from the Securities and Exchange Commission.  We welcome this review.  The transaction structures that have been questioned, while legitimate and in the best interest of our investors, are complex and therefore defy simple explanations.  We will cooperate fully with the SEC and look forward to the opportunity to put these questions to rest.   We will do our part to get information in the SEC’s hands quickly, so that we can bring the matter to an early resolution.</w:t>
      </w:r>
    </w:p>
    <w:p>
      <w:pPr>
        <w:pStyle w:val="BodyTextIndent"/>
        <w:rPr/>
      </w:pPr>
      <w:r>
        <w:rPr/>
      </w:r>
    </w:p>
    <w:p>
      <w:pPr>
        <w:pStyle w:val="BodyTextIndent"/>
        <w:rPr/>
      </w:pPr>
      <w:r>
        <w:rPr/>
        <w:t>While we are responding to the SEC’s questions Enron’s management and employees will remain focussed on serving our customers and creating value for our shareholders.  Andy Fastow will be doing the same.  Enron’s board and its management have the utmost confidence in and respect for Andy.  Despite what you read in the papers, Andy did nothing wrong and Enron did nothing wrong.  We stand behind him.</w:t>
      </w:r>
    </w:p>
    <w:p>
      <w:pPr>
        <w:pStyle w:val="BodyTextIndent"/>
        <w:ind w:hanging="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20"/>
        </w:tabs>
        <w:ind w:start="720" w:hanging="360"/>
      </w:pPr>
      <w:rPr>
        <w:rFonts w:ascii="Courier New" w:hAnsi="Courier New" w:cs="Courier New"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2001-10-19T14:47:00Z</dcterms:created>
  <dc:creator>skean</dc:creator>
  <dc:description/>
  <dc:language>en-CA</dc:language>
  <cp:lastModifiedBy>skean</cp:lastModifiedBy>
  <cp:lastPrinted>2001-10-19T15:11:00Z</cp:lastPrinted>
  <dcterms:modified xsi:type="dcterms:W3CDTF">2001-10-19T17:42:00Z</dcterms:modified>
  <cp:revision>2</cp:revision>
  <dc:subject/>
  <dc:title/>
</cp:coreProperties>
</file>