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rPr>
      </w:pPr>
      <w:r>
        <w:rPr>
          <w:rFonts w:cs="Arial" w:ascii="Arial" w:hAnsi="Arial"/>
          <w:sz w:val="28"/>
        </w:rPr>
        <w:t>COMPAQ COMPUTER CORPORATION</w: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t xml:space="preserve">MINUTES OF THE </w:t>
      </w:r>
    </w:p>
    <w:p>
      <w:pPr>
        <w:pStyle w:val="Normal"/>
        <w:jc w:val="center"/>
        <w:rPr>
          <w:rFonts w:ascii="Arial" w:hAnsi="Arial" w:cs="Arial"/>
          <w:sz w:val="28"/>
        </w:rPr>
      </w:pPr>
      <w:r>
        <w:rPr>
          <w:rFonts w:cs="Arial" w:ascii="Arial" w:hAnsi="Arial"/>
          <w:sz w:val="28"/>
        </w:rPr>
        <w:t>BOARD OF DIRECTORS MEETING</w:t>
      </w:r>
    </w:p>
    <w:p>
      <w:pPr>
        <w:pStyle w:val="Normal"/>
        <w:jc w:val="center"/>
        <w:rPr>
          <w:rFonts w:ascii="Arial" w:hAnsi="Arial" w:cs="Arial"/>
          <w:sz w:val="28"/>
        </w:rPr>
      </w:pPr>
      <w:r>
        <w:rPr>
          <w:rFonts w:cs="Arial" w:ascii="Arial" w:hAnsi="Arial"/>
          <w:sz w:val="28"/>
        </w:rPr>
      </w:r>
    </w:p>
    <w:p>
      <w:pPr>
        <w:pStyle w:val="Heading5"/>
        <w:ind w:hanging="0" w:end="0"/>
        <w:rPr/>
      </w:pPr>
      <w:r>
        <w:rPr/>
        <w:t>October 13, 2000</w:t>
      </w:r>
    </w:p>
    <w:p>
      <w:pPr>
        <w:pStyle w:val="Normal"/>
        <w:jc w:val="center"/>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ab/>
        <w:t>The Board of Directors convened by telephone at 8:00 a.m. CDT on October 13, 2000.  Each of the directors was present other than Kenneth Lay and Michael Capellas.  Each director waived notice of the meeting by attendance or by execution of a waiver.  Also present by invitation of the Board were Yvonne Jackson, Tom Siekman, Richard Fine, Russell Miller of SCA Consulting (compensation consultants), and Wanda Holloway, who acted as Secretary.</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ab/>
        <w:t xml:space="preserve">Mr. Babbio presented a recommendation for a new employment agreement for Michael Capellas, developed with the advice of SCA.  A chart describing the key terms of the proposed agreement, attached as Exhibit A, was made available to the directors in advance of the meeting.  Mr. Babbio addressed each provision identified in the chart, highlighting how the proposed agreement would, in certain instances, differ from the existing agreement between Mr. Capellas and Compaq, dated July 22, 1999.  </w:t>
      </w:r>
    </w:p>
    <w:p>
      <w:pPr>
        <w:pStyle w:val="Normal"/>
        <w:rPr>
          <w:rFonts w:ascii="Arial" w:hAnsi="Arial" w:cs="Arial"/>
          <w:sz w:val="28"/>
        </w:rPr>
      </w:pPr>
      <w:r>
        <w:rPr>
          <w:rFonts w:cs="Arial" w:ascii="Arial" w:hAnsi="Arial"/>
          <w:sz w:val="28"/>
        </w:rPr>
      </w:r>
    </w:p>
    <w:p>
      <w:pPr>
        <w:pStyle w:val="Normal"/>
        <w:ind w:firstLine="720" w:end="0"/>
        <w:rPr>
          <w:rFonts w:ascii="Arial" w:hAnsi="Arial" w:cs="Arial"/>
          <w:sz w:val="28"/>
        </w:rPr>
      </w:pPr>
      <w:r>
        <w:rPr>
          <w:rFonts w:cs="Arial" w:ascii="Arial" w:hAnsi="Arial"/>
          <w:sz w:val="28"/>
        </w:rPr>
        <w:t>Specifically, the directors discussed that the term of the proposed agreement would not change, Mr. Capellas’ base salary would increase from $1.3 million to $1.6 million, and Mr. Capellas’ target annual bonus would remain at two times the applicable base salary.  The Board then discussed the proposal to provide Mr. Capellas with approximately 1,000,000 shares of restricted stock.  Half of those shares will vest based on Mr. Capellas’s time as CEO:  200,000 within 30 days of grant, and the remainder in installments of 100,000 each over the following three years.  The remaining 500,000 shares will vest upon achievement of performance factors to be determined by the Human Resources Committee of the Board.  Various examples of potential performance factors that the Committee might consider were discussed, including relative stock performance (comparing Compaq to competitors) and a combination of revenue, earnings, and share price.  The Board also considered the possibility of including internal measures in light of the volatility of the current stock market.  The Board also discussed the possibility of granting a combination of cash and restricted stock to offer Mr. Capellas certain flexibility in making tax payments.</w:t>
      </w:r>
    </w:p>
    <w:p>
      <w:pPr>
        <w:pStyle w:val="Normal"/>
        <w:ind w:firstLine="720" w:end="0"/>
        <w:rPr>
          <w:rFonts w:ascii="Arial" w:hAnsi="Arial" w:cs="Arial"/>
          <w:sz w:val="28"/>
        </w:rPr>
      </w:pPr>
      <w:r>
        <w:rPr>
          <w:rFonts w:cs="Arial" w:ascii="Arial" w:hAnsi="Arial"/>
          <w:sz w:val="28"/>
        </w:rPr>
      </w:r>
    </w:p>
    <w:p>
      <w:pPr>
        <w:pStyle w:val="Normal"/>
        <w:ind w:firstLine="720" w:end="0"/>
        <w:rPr/>
      </w:pPr>
      <w:r>
        <w:rPr>
          <w:rFonts w:cs="Arial" w:ascii="Arial" w:hAnsi="Arial"/>
          <w:sz w:val="28"/>
        </w:rPr>
        <w:t>Under the proposed agreement, Mr. Capellas’ total target long-term incentive, including all forms of long-term incentive (such as stock options and cash) and stated on an annual basis, will be in a range of seven to ten times his base salary, valued using Black-Scholes methodology.  Russell Miller of SCA stated that the range proposed is based on market data for other technology companies of a similar size and that using the particular range selected places Mr. Capellas between the 60</w:t>
      </w:r>
      <w:r>
        <w:rPr>
          <w:rFonts w:cs="Arial" w:ascii="Arial" w:hAnsi="Arial"/>
          <w:sz w:val="28"/>
          <w:vertAlign w:val="superscript"/>
        </w:rPr>
        <w:t>th</w:t>
      </w:r>
      <w:r>
        <w:rPr>
          <w:rFonts w:cs="Arial" w:ascii="Arial" w:hAnsi="Arial"/>
          <w:sz w:val="28"/>
        </w:rPr>
        <w:t xml:space="preserve"> and 65</w:t>
      </w:r>
      <w:r>
        <w:rPr>
          <w:rFonts w:cs="Arial" w:ascii="Arial" w:hAnsi="Arial"/>
          <w:sz w:val="28"/>
          <w:vertAlign w:val="superscript"/>
        </w:rPr>
        <w:t>th</w:t>
      </w:r>
      <w:r>
        <w:rPr>
          <w:rFonts w:cs="Arial" w:ascii="Arial" w:hAnsi="Arial"/>
          <w:sz w:val="28"/>
        </w:rPr>
        <w:t xml:space="preserve"> percentiles when ranking the Chairmen/Chief Executive Officers of the comparison group.</w:t>
      </w:r>
    </w:p>
    <w:p>
      <w:pPr>
        <w:pStyle w:val="Normal"/>
        <w:ind w:firstLine="720" w:end="0"/>
        <w:rPr>
          <w:rFonts w:ascii="Arial" w:hAnsi="Arial" w:cs="Arial"/>
          <w:sz w:val="28"/>
        </w:rPr>
      </w:pPr>
      <w:r>
        <w:rPr>
          <w:rFonts w:cs="Arial" w:ascii="Arial" w:hAnsi="Arial"/>
          <w:sz w:val="28"/>
        </w:rPr>
      </w:r>
    </w:p>
    <w:p>
      <w:pPr>
        <w:pStyle w:val="Normal"/>
        <w:ind w:firstLine="720" w:end="0"/>
        <w:rPr>
          <w:rFonts w:ascii="Arial" w:hAnsi="Arial" w:cs="Arial"/>
          <w:sz w:val="28"/>
        </w:rPr>
      </w:pPr>
      <w:r>
        <w:rPr>
          <w:rFonts w:cs="Arial" w:ascii="Arial" w:hAnsi="Arial"/>
          <w:sz w:val="28"/>
        </w:rPr>
        <w:t>The directors agreed that the restricted stock and other compensation should be delivered in a tax efficient manner and provided that the Human Resources Committee will ensure that the final terms of the agreement achieve that goal.</w:t>
      </w:r>
    </w:p>
    <w:p>
      <w:pPr>
        <w:pStyle w:val="Normal"/>
        <w:ind w:firstLine="720" w:end="0"/>
        <w:rPr>
          <w:rFonts w:ascii="Arial" w:hAnsi="Arial" w:cs="Arial"/>
          <w:sz w:val="28"/>
        </w:rPr>
      </w:pPr>
      <w:r>
        <w:rPr>
          <w:rFonts w:cs="Arial" w:ascii="Arial" w:hAnsi="Arial"/>
          <w:sz w:val="28"/>
        </w:rPr>
      </w:r>
    </w:p>
    <w:p>
      <w:pPr>
        <w:pStyle w:val="Normal"/>
        <w:ind w:firstLine="720" w:end="0"/>
        <w:rPr>
          <w:rFonts w:ascii="Arial" w:hAnsi="Arial" w:cs="Arial"/>
          <w:sz w:val="28"/>
        </w:rPr>
      </w:pPr>
      <w:r>
        <w:rPr>
          <w:rFonts w:cs="Arial" w:ascii="Arial" w:hAnsi="Arial"/>
          <w:sz w:val="28"/>
        </w:rPr>
        <w:t>Mr. Babbio next described a proposal to forgive the $5 million loan made to Mr. Capellas (for the purchase of additional Compaq shares) under his 1999 agreement.  The Board agreed that the loan would be forgiven over a three-year period, staring in November of 2001, subject to Mr. Capellas’ continuing employment.</w:t>
      </w:r>
    </w:p>
    <w:p>
      <w:pPr>
        <w:pStyle w:val="Normal"/>
        <w:ind w:firstLine="720" w:end="0"/>
        <w:rPr>
          <w:rFonts w:ascii="Arial" w:hAnsi="Arial" w:cs="Arial"/>
          <w:sz w:val="28"/>
        </w:rPr>
      </w:pPr>
      <w:r>
        <w:rPr>
          <w:rFonts w:cs="Arial" w:ascii="Arial" w:hAnsi="Arial"/>
          <w:sz w:val="28"/>
        </w:rPr>
      </w:r>
    </w:p>
    <w:p>
      <w:pPr>
        <w:pStyle w:val="Normal"/>
        <w:ind w:firstLine="720" w:end="0"/>
        <w:rPr>
          <w:rFonts w:ascii="Arial" w:hAnsi="Arial" w:cs="Arial"/>
          <w:sz w:val="28"/>
        </w:rPr>
      </w:pPr>
      <w:r>
        <w:rPr>
          <w:rFonts w:cs="Arial" w:ascii="Arial" w:hAnsi="Arial"/>
          <w:sz w:val="28"/>
        </w:rPr>
        <w:t xml:space="preserve">The Board then discussed an increase in the severance payment for which Mr. Capellas is eligible under the proposed agreement was then discussed.  The Board agreed that increasing severance to three times the sum of base salary and target annual bonus would be consistent with market data for other similarly situated executives.  Mr. Babbio highlighted that while the 500,000 shares of restricted stock that vest over time will vest automatically upon a qualifying termination, there will be no accelerated or special vesting (other than, by virtue of plan terms, in the event of a change in control) of the 500,000 shares that vest based on achievement of performance targets.  </w:t>
      </w:r>
    </w:p>
    <w:p>
      <w:pPr>
        <w:pStyle w:val="Normal"/>
        <w:ind w:firstLine="720" w:end="0"/>
        <w:rPr>
          <w:rFonts w:ascii="Arial" w:hAnsi="Arial" w:cs="Arial"/>
          <w:sz w:val="28"/>
        </w:rPr>
      </w:pPr>
      <w:r>
        <w:rPr>
          <w:rFonts w:cs="Arial" w:ascii="Arial" w:hAnsi="Arial"/>
          <w:sz w:val="28"/>
        </w:rPr>
      </w:r>
    </w:p>
    <w:p>
      <w:pPr>
        <w:pStyle w:val="Normal"/>
        <w:ind w:firstLine="720" w:end="0"/>
        <w:rPr/>
      </w:pPr>
      <w:r>
        <w:rPr>
          <w:rFonts w:cs="Arial" w:ascii="Arial" w:hAnsi="Arial"/>
          <w:sz w:val="28"/>
        </w:rPr>
        <w:t>The value of the entire compensation package was then discussed.  Russell Miller of SCA described the value over the initial three-year term of the agreement and discussed SCA’s conclusion, after analysis, that the total value is in line with market data.  Mr. Miller pointed out that the total package places Mr. Capellas at approximately the 65</w:t>
      </w:r>
      <w:r>
        <w:rPr>
          <w:rFonts w:cs="Arial" w:ascii="Arial" w:hAnsi="Arial"/>
          <w:sz w:val="28"/>
          <w:vertAlign w:val="superscript"/>
        </w:rPr>
        <w:t>th</w:t>
      </w:r>
      <w:r>
        <w:rPr>
          <w:rFonts w:cs="Arial" w:ascii="Arial" w:hAnsi="Arial"/>
          <w:sz w:val="28"/>
        </w:rPr>
        <w:t xml:space="preserve"> percentile in a ranking of similarly situated executives at other technology-driven companies comparable in relevant measures to Compaq.   Mr. Miller also stressed that the proposed package is highly performance-driven and that, as a result, the value ultimately delivered to Mr. Capellas is highly dependent upon his success in leading the company.</w:t>
      </w:r>
    </w:p>
    <w:p>
      <w:pPr>
        <w:pStyle w:val="Normal"/>
        <w:rPr>
          <w:rFonts w:ascii="Arial" w:hAnsi="Arial" w:cs="Arial"/>
          <w:sz w:val="28"/>
        </w:rPr>
      </w:pPr>
      <w:r>
        <w:rPr>
          <w:rFonts w:cs="Arial" w:ascii="Arial" w:hAnsi="Arial"/>
          <w:sz w:val="28"/>
        </w:rPr>
      </w:r>
    </w:p>
    <w:p>
      <w:pPr>
        <w:pStyle w:val="Normal"/>
        <w:ind w:firstLine="720" w:end="0"/>
        <w:rPr>
          <w:rFonts w:ascii="Arial" w:hAnsi="Arial" w:cs="Arial"/>
          <w:sz w:val="28"/>
        </w:rPr>
      </w:pPr>
      <w:r>
        <w:rPr>
          <w:rFonts w:cs="Arial" w:ascii="Arial" w:hAnsi="Arial"/>
          <w:sz w:val="28"/>
        </w:rPr>
        <w:t>Following this discussion, upon motion duly made and seconded, the following resolutions were approved and adopted:</w:t>
      </w:r>
    </w:p>
    <w:p>
      <w:pPr>
        <w:pStyle w:val="Normal"/>
        <w:rPr>
          <w:rFonts w:ascii="Arial" w:hAnsi="Arial" w:cs="Arial"/>
          <w:sz w:val="28"/>
        </w:rPr>
      </w:pPr>
      <w:r>
        <w:rPr>
          <w:rFonts w:cs="Arial" w:ascii="Arial" w:hAnsi="Arial"/>
          <w:sz w:val="28"/>
        </w:rPr>
      </w:r>
    </w:p>
    <w:p>
      <w:pPr>
        <w:pStyle w:val="Heading2"/>
        <w:ind w:hanging="0" w:start="0" w:end="360"/>
        <w:rPr/>
      </w:pPr>
      <w:r>
        <w:rPr/>
        <w:t>CEO Employment Agreement</w:t>
      </w:r>
    </w:p>
    <w:p>
      <w:pPr>
        <w:pStyle w:val="Normal"/>
        <w:ind w:end="360"/>
        <w:jc w:val="center"/>
        <w:rPr>
          <w:rFonts w:ascii="Arial" w:hAnsi="Arial" w:cs="Arial"/>
          <w:sz w:val="28"/>
        </w:rPr>
      </w:pPr>
      <w:r>
        <w:rPr>
          <w:rFonts w:cs="Arial" w:ascii="Arial" w:hAnsi="Arial"/>
          <w:sz w:val="28"/>
        </w:rPr>
      </w:r>
    </w:p>
    <w:p>
      <w:pPr>
        <w:pStyle w:val="BlockText"/>
        <w:ind w:end="360"/>
        <w:rPr>
          <w:sz w:val="28"/>
        </w:rPr>
      </w:pPr>
      <w:r>
        <w:rPr>
          <w:sz w:val="28"/>
        </w:rPr>
        <w:tab/>
        <w:tab/>
        <w:t>WHEREAS, the Board of Directors desires to continue to retain Mr. Capellas as Chairman and Chief Executive Officer and, in order to do so, deems it necessary to provide Mr. Capellas with a new employment agreement containing terms and conditions that reward him for the additional duties he has assumed as Chairman and reflect a total compensation package that is comparable to the packages of similarly situated executives with other companies having key characteristics in common with Compaq; and</w:t>
      </w:r>
    </w:p>
    <w:p>
      <w:pPr>
        <w:pStyle w:val="Normal"/>
        <w:ind w:end="360"/>
        <w:rPr>
          <w:rFonts w:ascii="Arial" w:hAnsi="Arial" w:cs="Arial"/>
          <w:sz w:val="28"/>
        </w:rPr>
      </w:pPr>
      <w:r>
        <w:rPr>
          <w:rFonts w:cs="Arial" w:ascii="Arial" w:hAnsi="Arial"/>
          <w:sz w:val="28"/>
        </w:rPr>
      </w:r>
    </w:p>
    <w:p>
      <w:pPr>
        <w:pStyle w:val="Normal"/>
        <w:ind w:start="720" w:end="360"/>
        <w:rPr>
          <w:rFonts w:ascii="Arial" w:hAnsi="Arial" w:cs="Arial"/>
          <w:sz w:val="28"/>
        </w:rPr>
      </w:pPr>
      <w:r>
        <w:rPr>
          <w:rFonts w:cs="Arial" w:ascii="Arial" w:hAnsi="Arial"/>
          <w:sz w:val="28"/>
        </w:rPr>
        <w:tab/>
        <w:t>RESOLVED, that the Board approves the proposed agreement with Mr. Capellas, the terms and conditions of which are substantially as described in Exhibit A, and authorizes the Human Resources Committee to make such changes in the terms as are appropriate in light of tax and other considerations.</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ab/>
        <w:t>There being no further business, the meeting adjourned at 8:50 a.m.</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w:t>
      </w:r>
    </w:p>
    <w:p>
      <w:pPr>
        <w:sectPr>
          <w:type w:val="nextPage"/>
          <w:pgSz w:w="12240" w:h="15840"/>
          <w:pgMar w:left="1800" w:right="1800" w:gutter="0" w:header="0" w:top="1008" w:footer="0" w:bottom="1008"/>
          <w:pgNumType w:fmt="decimal"/>
          <w:formProt w:val="false"/>
          <w:textDirection w:val="lrTb"/>
          <w:docGrid w:type="default" w:linePitch="360" w:charSpace="0"/>
        </w:sectPr>
        <w:pStyle w:val="Normal"/>
        <w:rPr>
          <w:rFonts w:ascii="Arial" w:hAnsi="Arial" w:cs="Arial"/>
          <w:sz w:val="28"/>
        </w:rPr>
      </w:pPr>
      <w:r>
        <w:rPr>
          <w:rFonts w:cs="Arial" w:ascii="Arial" w:hAnsi="Arial"/>
          <w:sz w:val="28"/>
        </w:rPr>
        <w:t>Wanda Holloway</w:t>
      </w:r>
    </w:p>
    <w:p>
      <w:pPr>
        <w:pStyle w:val="Heading"/>
        <w:jc w:val="end"/>
        <w:rPr/>
      </w:pPr>
      <w:r>
        <w:rPr/>
        <w:t>CONFIDENTIAL</w:t>
      </w:r>
    </w:p>
    <w:p>
      <w:pPr>
        <w:pStyle w:val="Heading"/>
        <w:jc w:val="end"/>
        <w:rPr>
          <w:u w:val="single"/>
        </w:rPr>
      </w:pPr>
      <w:r>
        <w:rPr>
          <w:u w:val="single"/>
        </w:rPr>
        <w:t>Exhibit A</w:t>
      </w:r>
    </w:p>
    <w:p>
      <w:pPr>
        <w:pStyle w:val="Heading"/>
        <w:rPr>
          <w:u w:val="single"/>
        </w:rPr>
      </w:pPr>
      <w:r>
        <w:rPr>
          <w:u w:val="single"/>
        </w:rPr>
      </w:r>
    </w:p>
    <w:p>
      <w:pPr>
        <w:pStyle w:val="Heading"/>
        <w:rPr/>
      </w:pPr>
      <w:r>
        <w:rPr/>
        <w:t>Summary of Proposed Compensation Arrangements</w:t>
      </w:r>
    </w:p>
    <w:p>
      <w:pPr>
        <w:pStyle w:val="Heading"/>
        <w:rPr>
          <w:b w:val="false"/>
        </w:rPr>
      </w:pPr>
      <w:r>
        <w:rPr/>
        <w:t>For Michael Capellas</w:t>
      </w:r>
    </w:p>
    <w:p>
      <w:pPr>
        <w:pStyle w:val="Heading"/>
        <w:rPr>
          <w:b w:val="false"/>
        </w:rPr>
      </w:pPr>
      <w:r>
        <w:rPr>
          <w:b w:val="false"/>
        </w:rPr>
      </w:r>
    </w:p>
    <w:tbl>
      <w:tblPr>
        <w:tblW w:w="13428" w:type="dxa"/>
        <w:jc w:val="start"/>
        <w:tblInd w:w="0" w:type="dxa"/>
        <w:tblLayout w:type="fixed"/>
        <w:tblCellMar>
          <w:top w:w="0" w:type="dxa"/>
          <w:start w:w="108" w:type="dxa"/>
          <w:bottom w:w="0" w:type="dxa"/>
          <w:end w:w="108" w:type="dxa"/>
        </w:tblCellMar>
      </w:tblPr>
      <w:tblGrid>
        <w:gridCol w:w="2628"/>
        <w:gridCol w:w="5040"/>
        <w:gridCol w:w="5760"/>
      </w:tblGrid>
      <w:tr>
        <w:trPr>
          <w:tblHeader w:val="true"/>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pPr>
            <w:r>
              <w:rPr/>
              <w:t>Issue</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pPr>
            <w:r>
              <w:rPr/>
              <w:t>Current Provisions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pPr>
            <w:r>
              <w:rPr/>
              <w:t>Recommendation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Term of Agreement</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3-year initial term, automatically renewed annually for successive one-year terms thereafter</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No change – begin new initial 3-year term with appointment as Chairman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Base Salary</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$1.3 million</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$1.6 million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Annual Bonus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Target bonus of 2x base salary</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No change</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Restricted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Granted 200,000 shares under original agreement:</w:t>
            </w:r>
          </w:p>
          <w:p>
            <w:pPr>
              <w:pStyle w:val="Heading"/>
              <w:jc w:val="start"/>
              <w:rPr>
                <w:b w:val="false"/>
              </w:rPr>
            </w:pPr>
            <w:r>
              <w:rPr>
                <w:b w:val="false"/>
              </w:rPr>
            </w:r>
          </w:p>
          <w:p>
            <w:pPr>
              <w:pStyle w:val="Heading"/>
              <w:numPr>
                <w:ilvl w:val="0"/>
                <w:numId w:val="3"/>
              </w:numPr>
              <w:jc w:val="start"/>
              <w:rPr>
                <w:b w:val="false"/>
              </w:rPr>
            </w:pPr>
            <w:r>
              <w:rPr>
                <w:b w:val="false"/>
              </w:rPr>
              <w:t xml:space="preserve">Vest based on achievement of stock performance targets:  </w:t>
            </w:r>
          </w:p>
          <w:p>
            <w:pPr>
              <w:pStyle w:val="Heading"/>
              <w:numPr>
                <w:ilvl w:val="1"/>
                <w:numId w:val="3"/>
              </w:numPr>
              <w:jc w:val="start"/>
              <w:rPr>
                <w:b w:val="false"/>
              </w:rPr>
            </w:pPr>
            <w:r>
              <w:rPr>
                <w:b w:val="false"/>
              </w:rPr>
              <w:t>50,000 vest when stock hits $35</w:t>
            </w:r>
          </w:p>
          <w:p>
            <w:pPr>
              <w:pStyle w:val="Heading"/>
              <w:numPr>
                <w:ilvl w:val="1"/>
                <w:numId w:val="3"/>
              </w:numPr>
              <w:jc w:val="start"/>
              <w:rPr>
                <w:b w:val="false"/>
              </w:rPr>
            </w:pPr>
            <w:r>
              <w:rPr>
                <w:b w:val="false"/>
              </w:rPr>
              <w:t>an additional 50,000 when stock hits $40, and</w:t>
            </w:r>
          </w:p>
          <w:p>
            <w:pPr>
              <w:pStyle w:val="Heading"/>
              <w:numPr>
                <w:ilvl w:val="1"/>
                <w:numId w:val="3"/>
              </w:numPr>
              <w:jc w:val="start"/>
              <w:rPr>
                <w:b w:val="false"/>
              </w:rPr>
            </w:pPr>
            <w:r>
              <w:rPr>
                <w:b w:val="false"/>
              </w:rPr>
              <w:t>remaining 100,000 when stock hits $50</w:t>
            </w:r>
          </w:p>
          <w:p>
            <w:pPr>
              <w:pStyle w:val="Heading"/>
              <w:numPr>
                <w:ilvl w:val="0"/>
                <w:numId w:val="3"/>
              </w:numPr>
              <w:jc w:val="start"/>
              <w:rPr>
                <w:b w:val="false"/>
              </w:rPr>
            </w:pPr>
            <w:r>
              <w:rPr>
                <w:b w:val="false"/>
              </w:rPr>
              <w:t>Alternatively, will vest on July 22, 2004 if not vested before</w:t>
            </w:r>
          </w:p>
          <w:p>
            <w:pPr>
              <w:pStyle w:val="Heading"/>
              <w:numPr>
                <w:ilvl w:val="0"/>
                <w:numId w:val="3"/>
              </w:numPr>
              <w:jc w:val="start"/>
              <w:rPr>
                <w:b w:val="false"/>
              </w:rPr>
            </w:pPr>
            <w:r>
              <w:rPr>
                <w:b w:val="false"/>
              </w:rPr>
              <w:t>Vested on pro-rata basis if incurs “qualifying termination” (e.g., terminated without cause, resignation following certain changes in comp or responsibilities)</w:t>
            </w:r>
          </w:p>
          <w:p>
            <w:pPr>
              <w:pStyle w:val="Heading"/>
              <w:numPr>
                <w:ilvl w:val="0"/>
                <w:numId w:val="3"/>
              </w:numPr>
              <w:jc w:val="start"/>
              <w:rPr>
                <w:b w:val="false"/>
              </w:rPr>
            </w:pPr>
            <w:r>
              <w:rPr>
                <w:b w:val="false"/>
              </w:rPr>
              <w:t>Automatically vest upon change in control</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1999 grant governed by original terms</w:t>
            </w:r>
          </w:p>
          <w:p>
            <w:pPr>
              <w:pStyle w:val="Heading"/>
              <w:jc w:val="start"/>
              <w:rPr>
                <w:b w:val="false"/>
              </w:rPr>
            </w:pPr>
            <w:r>
              <w:rPr>
                <w:b w:val="false"/>
              </w:rPr>
            </w:r>
          </w:p>
          <w:p>
            <w:pPr>
              <w:pStyle w:val="Heading"/>
              <w:jc w:val="start"/>
              <w:rPr>
                <w:b w:val="false"/>
              </w:rPr>
            </w:pPr>
            <w:r>
              <w:rPr>
                <w:b w:val="false"/>
              </w:rPr>
              <w:t>Grant an additional 1,000,000 shares:</w:t>
            </w:r>
          </w:p>
          <w:p>
            <w:pPr>
              <w:pStyle w:val="Heading"/>
              <w:jc w:val="start"/>
              <w:rPr>
                <w:b w:val="false"/>
              </w:rPr>
            </w:pPr>
            <w:r>
              <w:rPr>
                <w:b w:val="false"/>
              </w:rPr>
            </w:r>
          </w:p>
          <w:p>
            <w:pPr>
              <w:pStyle w:val="Heading"/>
              <w:numPr>
                <w:ilvl w:val="0"/>
                <w:numId w:val="4"/>
              </w:numPr>
              <w:jc w:val="start"/>
              <w:rPr>
                <w:b w:val="false"/>
              </w:rPr>
            </w:pPr>
            <w:r>
              <w:rPr>
                <w:b w:val="false"/>
              </w:rPr>
              <w:t>500,000 vest as follows:  200,000 within one month of grant, and 100,000 upon each anniversary of that date for the next three years</w:t>
            </w:r>
          </w:p>
          <w:p>
            <w:pPr>
              <w:pStyle w:val="Heading"/>
              <w:numPr>
                <w:ilvl w:val="0"/>
                <w:numId w:val="4"/>
              </w:numPr>
              <w:jc w:val="start"/>
              <w:rPr>
                <w:b w:val="false"/>
              </w:rPr>
            </w:pPr>
            <w:r>
              <w:rPr>
                <w:b w:val="false"/>
              </w:rPr>
              <w:t xml:space="preserve">500,000 vest based only on achievement of performance criteria (to be determined) </w:t>
            </w:r>
          </w:p>
          <w:p>
            <w:pPr>
              <w:pStyle w:val="Heading"/>
              <w:numPr>
                <w:ilvl w:val="0"/>
                <w:numId w:val="4"/>
              </w:numPr>
              <w:jc w:val="start"/>
              <w:rPr>
                <w:b w:val="false"/>
              </w:rPr>
            </w:pPr>
            <w:r>
              <w:rPr>
                <w:b w:val="false"/>
              </w:rPr>
              <w:t>Additional shares which vest over time will fully vest upon qualifying termination, which, as described below, includes termination without cause, resignation for “good reason” (such as material reduction in pay or assignment of duties inconsistent with position), or involuntary termination for any reason/resignation for good reason following a change in control</w:t>
            </w:r>
          </w:p>
          <w:p>
            <w:pPr>
              <w:pStyle w:val="Heading"/>
              <w:numPr>
                <w:ilvl w:val="0"/>
                <w:numId w:val="4"/>
              </w:numPr>
              <w:jc w:val="start"/>
              <w:rPr>
                <w:b w:val="false"/>
              </w:rPr>
            </w:pPr>
            <w:r>
              <w:rPr>
                <w:b w:val="false"/>
              </w:rPr>
              <w:t>No special vesting of additional shares which vest based on performance (other than following a change in control, in which case will vest as a matter of plan terms)</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Stock Options/Long-Term Bonus Opportunities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Participates in annual plan, with grant size determined as follows:</w:t>
            </w:r>
          </w:p>
          <w:p>
            <w:pPr>
              <w:pStyle w:val="Heading"/>
              <w:jc w:val="start"/>
              <w:rPr>
                <w:b w:val="false"/>
              </w:rPr>
            </w:pPr>
            <w:r>
              <w:rPr>
                <w:b w:val="false"/>
              </w:rPr>
            </w:r>
          </w:p>
          <w:p>
            <w:pPr>
              <w:pStyle w:val="Heading"/>
              <w:numPr>
                <w:ilvl w:val="0"/>
                <w:numId w:val="2"/>
              </w:numPr>
              <w:jc w:val="start"/>
              <w:rPr>
                <w:b w:val="false"/>
              </w:rPr>
            </w:pPr>
            <w:r>
              <w:rPr>
                <w:b w:val="false"/>
              </w:rPr>
              <w:t>annually evaluate market competitive grant level through proxy and survey analysis of industry-competitive stock grant levels on a Black-Scholes basis and grant fair market value basis (number of shares times exercise price)</w:t>
            </w:r>
          </w:p>
          <w:p>
            <w:pPr>
              <w:pStyle w:val="Heading"/>
              <w:numPr>
                <w:ilvl w:val="0"/>
                <w:numId w:val="2"/>
              </w:numPr>
              <w:jc w:val="start"/>
              <w:rPr>
                <w:b w:val="false"/>
              </w:rPr>
            </w:pPr>
            <w:r>
              <w:rPr>
                <w:b w:val="false"/>
              </w:rPr>
              <w:t>convert to equivalent number of shares based on stock price at time of grant consideration</w:t>
            </w:r>
          </w:p>
          <w:p>
            <w:pPr>
              <w:pStyle w:val="Heading"/>
              <w:numPr>
                <w:ilvl w:val="0"/>
                <w:numId w:val="2"/>
              </w:numPr>
              <w:jc w:val="start"/>
              <w:rPr>
                <w:b w:val="false"/>
              </w:rPr>
            </w:pPr>
            <w:r>
              <w:rPr>
                <w:b w:val="false"/>
              </w:rPr>
              <w:t>HR Committee will be provided with a range of options based on market competitive data</w:t>
            </w:r>
          </w:p>
          <w:p>
            <w:pPr>
              <w:pStyle w:val="Heading"/>
              <w:jc w:val="start"/>
              <w:rPr>
                <w:b w:val="false"/>
              </w:rPr>
            </w:pPr>
            <w:r>
              <w:rPr>
                <w:b w:val="false"/>
              </w:rPr>
            </w:r>
          </w:p>
          <w:p>
            <w:pPr>
              <w:pStyle w:val="Heading"/>
              <w:jc w:val="start"/>
              <w:rPr>
                <w:b w:val="false"/>
              </w:rPr>
            </w:pPr>
            <w:r>
              <w:rPr>
                <w:b w:val="false"/>
              </w:rPr>
              <w:t>Options will continue to vest over any separation pay period – may exercise until earlier of (a) grant expiration or (b) one year anniversary of final separation payment (giving executive 3 years from separation to exercise, but never longer than term of original grant)</w:t>
            </w:r>
          </w:p>
          <w:p>
            <w:pPr>
              <w:pStyle w:val="Heading"/>
              <w:jc w:val="start"/>
              <w:rPr>
                <w:b w:val="false"/>
              </w:rPr>
            </w:pPr>
            <w:r>
              <w:rPr>
                <w:b w:val="false"/>
              </w:rPr>
            </w:r>
          </w:p>
          <w:p>
            <w:pPr>
              <w:pStyle w:val="Heading"/>
              <w:jc w:val="start"/>
              <w:rPr>
                <w:b w:val="false"/>
              </w:rPr>
            </w:pPr>
            <w:r>
              <w:rPr>
                <w:b w:val="false"/>
              </w:rPr>
              <w:t>Long-Term Bonus Plan currently provides for credit to “bonus bank” of up to 50% of executive’s annual bonus, with potential payout of up to 30% of cumulative balance of that “bonus bank” on an annual basis</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Total target long-term incentive opportunity on annual basis (including stock options and other long-term incentives) valued in range of 7-10x base salary using Black-Scholes model – note that the initial term of this agreement is three years, with successive renewal periods of one-year</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No change on special vesting provisions</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Current Long-Term Bonus plan under review – anticipate implementing alternative plan</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Loan to purchase Compaq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$5,000,000 loan at market rate, with principal and interest payable on earlier of July 22, 2004 or termination of employment</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Forgive over 3-year period (1/3 per year) beginning on anniversary date of agreement – fully forgiven upon qualifying termination, as defined below</w:t>
            </w:r>
          </w:p>
          <w:p>
            <w:pPr>
              <w:pStyle w:val="Heading"/>
              <w:jc w:val="start"/>
              <w:rPr>
                <w:b w:val="false"/>
              </w:rPr>
            </w:pPr>
            <w:r>
              <w:rPr>
                <w:b w:val="false"/>
              </w:rPr>
            </w:r>
          </w:p>
          <w:p>
            <w:pPr>
              <w:pStyle w:val="Heading"/>
              <w:jc w:val="start"/>
              <w:rPr>
                <w:b w:val="false"/>
              </w:rPr>
            </w:pPr>
            <w:r>
              <w:rPr>
                <w:b w:val="false"/>
              </w:rPr>
              <w:t xml:space="preserve">May tender shares to satisfy withholding obligation – will be treated, for SEC reporting purposes, as a sale of these shares to Compaq </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Restrictive Covenants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Non-competition and non-solicitation of customers and employees for severance pay period (24 months)</w:t>
            </w:r>
          </w:p>
          <w:p>
            <w:pPr>
              <w:pStyle w:val="Heading"/>
              <w:jc w:val="start"/>
              <w:rPr>
                <w:b w:val="false"/>
              </w:rPr>
            </w:pPr>
            <w:r>
              <w:rPr>
                <w:b w:val="false"/>
              </w:rPr>
            </w:r>
          </w:p>
          <w:p>
            <w:pPr>
              <w:pStyle w:val="Heading"/>
              <w:jc w:val="start"/>
              <w:rPr>
                <w:b w:val="false"/>
              </w:rPr>
            </w:pPr>
            <w:r>
              <w:rPr>
                <w:b w:val="false"/>
              </w:rPr>
              <w:t>Extensive non-disparagement provisions with substantial liquidated damages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Non-competition and non-solicitation provisions for severance pay period</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Termination</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Severance of 2x base and prior year annual bonus in event of qualifying termination – 3x in event of qualifying termination following a change in control – payable 25% up front and remaining 75% over severance pay period of 24 months</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No severance if terminates due to death or disability</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Payment of severance benefits contingent upon execution of release</w:t>
            </w:r>
          </w:p>
          <w:p>
            <w:pPr>
              <w:pStyle w:val="Heading"/>
              <w:jc w:val="start"/>
              <w:rPr>
                <w:b w:val="false"/>
              </w:rPr>
            </w:pPr>
            <w:r>
              <w:rPr>
                <w:b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rPr>
            </w:pPr>
            <w:r>
              <w:rPr>
                <w:b w:val="false"/>
              </w:rPr>
              <w:t>Severance of 3x base and target annual bonus in event of qualifying termination, which includes termination without cause, resignation for “good reason” (such as material reduction in pay or assignment of duties inconsistent with position of CEO), or involuntary termination for any reason/resignation for good reason following a change in control</w:t>
            </w:r>
          </w:p>
          <w:p>
            <w:pPr>
              <w:pStyle w:val="Heading"/>
              <w:jc w:val="start"/>
              <w:rPr>
                <w:b w:val="false"/>
              </w:rPr>
            </w:pPr>
            <w:r>
              <w:rPr>
                <w:b w:val="false"/>
              </w:rPr>
            </w:r>
          </w:p>
          <w:p>
            <w:pPr>
              <w:pStyle w:val="Heading"/>
              <w:jc w:val="start"/>
              <w:rPr>
                <w:b w:val="false"/>
              </w:rPr>
            </w:pPr>
            <w:r>
              <w:rPr>
                <w:b w:val="false"/>
              </w:rPr>
              <w:t>Severance payment of 1.5x base and target annual bonus in event of termination due to death or disability</w:t>
            </w:r>
          </w:p>
          <w:p>
            <w:pPr>
              <w:pStyle w:val="Heading"/>
              <w:jc w:val="start"/>
              <w:rPr>
                <w:b w:val="false"/>
              </w:rPr>
            </w:pPr>
            <w:r>
              <w:rPr>
                <w:b w:val="false"/>
              </w:rPr>
            </w:r>
          </w:p>
          <w:p>
            <w:pPr>
              <w:pStyle w:val="Heading"/>
              <w:jc w:val="start"/>
              <w:rPr>
                <w:b w:val="false"/>
              </w:rPr>
            </w:pPr>
            <w:r>
              <w:rPr>
                <w:b w:val="false"/>
              </w:rPr>
              <w:t>Payment of severance benefits contingent upon execution of release</w:t>
            </w:r>
          </w:p>
        </w:tc>
      </w:tr>
    </w:tbl>
    <w:p>
      <w:pPr>
        <w:pStyle w:val="Normal"/>
        <w:rPr/>
      </w:pPr>
      <w:r>
        <w:rPr/>
      </w:r>
    </w:p>
    <w:p>
      <w:pPr>
        <w:pStyle w:val="Normal"/>
        <w:rPr>
          <w:rFonts w:ascii="Arial" w:hAnsi="Arial" w:cs="Arial"/>
          <w:sz w:val="28"/>
        </w:rPr>
      </w:pPr>
      <w:r>
        <w:rPr>
          <w:rFonts w:cs="Arial" w:ascii="Arial" w:hAnsi="Arial"/>
          <w:sz w:val="28"/>
        </w:rPr>
      </w:r>
    </w:p>
    <w:sectPr>
      <w:type w:val="nextPage"/>
      <w:pgSz w:orient="landscape" w:w="15840" w:h="12240"/>
      <w:pgMar w:left="1008"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3"/>
      <w:numFmt w:val="bullet"/>
      <w:lvlText w:val="-"/>
      <w:lvlJc w:val="start"/>
      <w:pPr>
        <w:tabs>
          <w:tab w:val="num" w:pos="1080"/>
        </w:tabs>
        <w:ind w:start="1080" w:hanging="360"/>
      </w:pPr>
      <w:rPr>
        <w:rFonts w:ascii="Liberation Serif" w:hAnsi="Liberation Serif" w:cs="Liberation Serif"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3"/>
      <w:numFmt w:val="bullet"/>
      <w:lvlText w:val="-"/>
      <w:lvlJc w:val="start"/>
      <w:pPr>
        <w:tabs>
          <w:tab w:val="num" w:pos="1080"/>
        </w:tabs>
        <w:ind w:start="1080" w:hanging="360"/>
      </w:pPr>
      <w:rPr>
        <w:rFonts w:ascii="Liberation Serif" w:hAnsi="Liberation Serif" w:cs="Liberation Serif"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sz w:val="28"/>
      <w:u w:val="single"/>
    </w:rPr>
  </w:style>
  <w:style w:type="paragraph" w:styleId="Heading5">
    <w:name w:val="heading 5"/>
    <w:basedOn w:val="Normal"/>
    <w:next w:val="Normal"/>
    <w:qFormat/>
    <w:pPr>
      <w:keepNext w:val="true"/>
      <w:numPr>
        <w:ilvl w:val="4"/>
        <w:numId w:val="1"/>
      </w:numPr>
      <w:ind w:firstLine="720" w:start="0" w:end="0"/>
      <w:jc w:val="center"/>
      <w:outlineLvl w:val="4"/>
    </w:pPr>
    <w:rPr>
      <w:rFonts w:ascii="Arial" w:hAnsi="Arial" w:cs="Arial"/>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720" w:start="720" w:end="72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2000-10-17T15:21:00Z</dcterms:created>
  <dc:creator>Wanda Hollaway</dc:creator>
  <dc:description/>
  <dc:language>en-CA</dc:language>
  <cp:lastModifiedBy>Barbara Sain</cp:lastModifiedBy>
  <cp:lastPrinted>2000-10-17T15:25:00Z</cp:lastPrinted>
  <dcterms:modified xsi:type="dcterms:W3CDTF">2000-10-19T18:56:00Z</dcterms:modified>
  <cp:revision>6</cp:revision>
  <dc:subject/>
  <dc:title>MINUTES OF THE MEETING</dc:title>
</cp:coreProperties>
</file>