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Heading"/>
        <w:rPr/>
      </w:pPr>
      <w:bookmarkStart w:id="0" w:name="_986796794"/>
      <w:bookmarkEnd w:id="0"/>
      <w:r>
        <w:rPr/>
        <w:object w:dxaOrig="1560" w:dyaOrig="1546">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77.95pt;height:78.9pt" filled="f" o:ole="">
            <v:imagedata r:id="rId3" o:title=""/>
          </v:shape>
          <o:OLEObject Type="Embed" ProgID="" ShapeID="ole_rId2" DrawAspect="Content" ObjectID="_1598450207" r:id="rId2"/>
        </w:object>
      </w:r>
    </w:p>
    <w:p>
      <w:pPr>
        <w:pStyle w:val="Heading"/>
        <w:rPr/>
      </w:pPr>
      <w:r>
        <w:rPr/>
      </w:r>
    </w:p>
    <w:p>
      <w:pPr>
        <w:pStyle w:val="Heading"/>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Richard Shapiro, Jim Steffes, Harry Kingerski</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Western States Region</w:t>
            </w:r>
          </w:p>
        </w:tc>
        <w:tc>
          <w:tcPr>
            <w:tcW w:w="990" w:type="dxa"/>
            <w:tcBorders/>
          </w:tcPr>
          <w:p>
            <w:pPr>
              <w:pStyle w:val="Normal"/>
              <w:snapToGrid w:val="false"/>
              <w:ind w:start="-180" w:end="0"/>
              <w:jc w:val="end"/>
              <w:rPr>
                <w:sz w:val="16"/>
              </w:rPr>
            </w:pPr>
            <w:r>
              <w:rPr>
                <w:sz w:val="16"/>
              </w:rPr>
            </w:r>
          </w:p>
        </w:tc>
        <w:tc>
          <w:tcPr>
            <w:tcW w:w="2965" w:type="dxa"/>
            <w:tcBorders/>
          </w:tcPr>
          <w:p>
            <w:pPr>
              <w:pStyle w:val="Department"/>
              <w:snapToGrid w:val="false"/>
              <w:rPr>
                <w:sz w:val="16"/>
              </w:rPr>
            </w:pPr>
            <w:r>
              <w:rPr>
                <w:sz w:val="16"/>
              </w:rPr>
            </w:r>
            <w:bookmarkStart w:id="1" w:name="From"/>
            <w:bookmarkStart w:id="2" w:name="From"/>
            <w:bookmarkEnd w:id="2"/>
          </w:p>
        </w:tc>
      </w:tr>
      <w:tr>
        <w:trPr>
          <w:trHeight w:val="216" w:hRule="exact"/>
        </w:trPr>
        <w:tc>
          <w:tcPr>
            <w:tcW w:w="708" w:type="dxa"/>
            <w:tcBorders/>
          </w:tcPr>
          <w:p>
            <w:pPr>
              <w:pStyle w:val="Normal"/>
              <w:snapToGrid w:val="false"/>
              <w:ind w:start="-180" w:end="0"/>
              <w:jc w:val="end"/>
              <w:rPr>
                <w:sz w:val="18"/>
              </w:rPr>
            </w:pPr>
            <w:r>
              <w:rPr>
                <w:sz w:val="18"/>
              </w:rPr>
            </w:r>
          </w:p>
          <w:p>
            <w:pPr>
              <w:pStyle w:val="Normal"/>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Strategy</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fldChar w:fldCharType="begin"/>
            </w:r>
            <w:r>
              <w:rPr/>
              <w:instrText xml:space="preserve"> DATE \@"MMMM\ d', 'yyyy" </w:instrText>
            </w:r>
            <w:r>
              <w:rPr/>
              <w:fldChar w:fldCharType="separate"/>
            </w:r>
            <w:r>
              <w:rPr/>
              <w:t>September 28, 2025</w:t>
            </w:r>
            <w:r>
              <w:rPr/>
              <w:fldChar w:fldCharType="end"/>
            </w:r>
          </w:p>
        </w:tc>
      </w:tr>
    </w:tbl>
    <w:p>
      <w:pPr>
        <w:pStyle w:val="Body"/>
        <w:rPr>
          <w:color w:val="auto"/>
        </w:rPr>
      </w:pPr>
      <w:r>
        <w:rPr>
          <w:color w:val="auto"/>
        </w:rPr>
      </w:r>
      <w:bookmarkStart w:id="3" w:name="StartOfMemo"/>
      <w:bookmarkStart w:id="4" w:name="StartOfMemo"/>
      <w:bookmarkEnd w:id="4"/>
    </w:p>
    <w:p>
      <w:pPr>
        <w:pStyle w:val="Body"/>
        <w:ind w:start="0" w:end="0"/>
        <w:jc w:val="center"/>
        <w:rPr>
          <w:b/>
          <w:color w:val="auto"/>
          <w:u w:val="single"/>
        </w:rPr>
      </w:pPr>
      <w:r>
        <w:rPr>
          <w:b/>
          <w:color w:val="auto"/>
          <w:u w:val="single"/>
        </w:rPr>
        <w:t>Introduction</w:t>
      </w:r>
    </w:p>
    <w:p>
      <w:pPr>
        <w:pStyle w:val="Body"/>
        <w:ind w:start="0" w:end="0"/>
        <w:rPr>
          <w:b/>
          <w:color w:val="auto"/>
          <w:u w:val="single"/>
        </w:rPr>
      </w:pPr>
      <w:r>
        <w:rPr>
          <w:b/>
          <w:color w:val="auto"/>
          <w:u w:val="single"/>
        </w:rPr>
      </w:r>
    </w:p>
    <w:p>
      <w:pPr>
        <w:pStyle w:val="Body"/>
        <w:rPr>
          <w:color w:val="auto"/>
        </w:rPr>
      </w:pPr>
      <w:r>
        <w:rPr>
          <w:color w:val="auto"/>
        </w:rPr>
        <w:t xml:space="preserve">This strategy consists of three parts as follows.  Part 1 discusses the drivers that will govern our activities in the state.  Part 2 discusses our posture in each of several forums in which issues affecting California markets are addressed.  Part 3 presents a prioritization of activities/issues.  Attached to this document is a spreadsheet that provides further detail on these activities/issues.  The spreadsheet assumes that internal resources and the budget for external resource are sufficient to address the activities/issues identified on the list.  </w:t>
      </w:r>
    </w:p>
    <w:p>
      <w:pPr>
        <w:pStyle w:val="Body"/>
        <w:rPr>
          <w:color w:val="auto"/>
        </w:rPr>
      </w:pPr>
      <w:r>
        <w:rPr>
          <w:color w:val="auto"/>
        </w:rPr>
      </w:r>
    </w:p>
    <w:p>
      <w:pPr>
        <w:pStyle w:val="Heading1"/>
        <w:ind w:hanging="0" w:start="0"/>
        <w:jc w:val="center"/>
        <w:rPr>
          <w:rFonts w:ascii="Arial" w:hAnsi="Arial" w:cs="Arial"/>
          <w:b/>
          <w:sz w:val="20"/>
        </w:rPr>
      </w:pPr>
      <w:r>
        <w:rPr>
          <w:rFonts w:cs="Arial" w:ascii="Arial" w:hAnsi="Arial"/>
          <w:b/>
          <w:sz w:val="20"/>
        </w:rPr>
        <w:t>Part 1—The Drivers</w:t>
      </w:r>
    </w:p>
    <w:p>
      <w:pPr>
        <w:pStyle w:val="Heading1"/>
        <w:ind w:hanging="0" w:start="0"/>
        <w:rPr>
          <w:rFonts w:ascii="Arial" w:hAnsi="Arial" w:cs="Arial"/>
          <w:b/>
          <w:sz w:val="20"/>
        </w:rPr>
      </w:pPr>
      <w:r>
        <w:rPr>
          <w:rFonts w:cs="Arial" w:ascii="Arial" w:hAnsi="Arial"/>
          <w:b/>
          <w:sz w:val="20"/>
        </w:rPr>
      </w:r>
    </w:p>
    <w:p>
      <w:pPr>
        <w:pStyle w:val="Normal"/>
        <w:rPr>
          <w:sz w:val="20"/>
        </w:rPr>
      </w:pPr>
      <w:r>
        <w:rPr>
          <w:sz w:val="20"/>
        </w:rPr>
        <w:t>Our actions in California for the duration of 2000 and in 2001 we will be driven by the following:</w:t>
      </w:r>
    </w:p>
    <w:p>
      <w:pPr>
        <w:pStyle w:val="Normal"/>
        <w:rPr>
          <w:sz w:val="20"/>
        </w:rPr>
      </w:pPr>
      <w:r>
        <w:rPr>
          <w:sz w:val="20"/>
        </w:rPr>
      </w:r>
    </w:p>
    <w:p>
      <w:pPr>
        <w:pStyle w:val="Normal"/>
        <w:numPr>
          <w:ilvl w:val="0"/>
          <w:numId w:val="2"/>
        </w:numPr>
        <w:tabs>
          <w:tab w:val="left" w:pos="540" w:leader="none"/>
          <w:tab w:val="left" w:pos="900" w:leader="none"/>
        </w:tabs>
        <w:rPr>
          <w:sz w:val="20"/>
        </w:rPr>
      </w:pPr>
      <w:r>
        <w:rPr>
          <w:sz w:val="20"/>
        </w:rPr>
        <w:t xml:space="preserve">We understand the contribution of the West Desk and wholesale markets to Enron’s overall financial performance.  Accordingly, we will take actions necessary to support maintenance/improvement of the wholesale markets such as:  (a) assisting ENA in the CPUC, PX and ISO investigations; (b) actively opposing any reduction to existing caps  and  supporting increases in the price caps at the PX and ISO; and (c) improving the information flow from the ISO to market participants.  </w:t>
      </w:r>
    </w:p>
    <w:p>
      <w:pPr>
        <w:pStyle w:val="Normal"/>
        <w:rPr>
          <w:sz w:val="20"/>
        </w:rPr>
      </w:pPr>
      <w:r>
        <w:rPr>
          <w:sz w:val="20"/>
        </w:rPr>
      </w:r>
    </w:p>
    <w:p>
      <w:pPr>
        <w:pStyle w:val="Normal"/>
        <w:numPr>
          <w:ilvl w:val="0"/>
          <w:numId w:val="2"/>
        </w:numPr>
        <w:tabs>
          <w:tab w:val="left" w:pos="540" w:leader="none"/>
          <w:tab w:val="left" w:pos="900" w:leader="none"/>
        </w:tabs>
        <w:rPr>
          <w:sz w:val="20"/>
        </w:rPr>
      </w:pPr>
      <w:r>
        <w:rPr>
          <w:sz w:val="20"/>
        </w:rPr>
        <w:t>We understand the importance of up-to-date and accurate information.  Accordingly, we will provide EES with information necessary to support their retail curves and new business developments.  We will also provide ENA with information of interest, including integrated resource planning documents, reports on reliability concerns, and QF restructuring.</w:t>
      </w:r>
    </w:p>
    <w:p>
      <w:pPr>
        <w:pStyle w:val="Normal"/>
        <w:rPr>
          <w:sz w:val="20"/>
        </w:rPr>
      </w:pPr>
      <w:r>
        <w:rPr>
          <w:sz w:val="20"/>
        </w:rPr>
      </w:r>
    </w:p>
    <w:p>
      <w:pPr>
        <w:pStyle w:val="Normal"/>
        <w:numPr>
          <w:ilvl w:val="0"/>
          <w:numId w:val="2"/>
        </w:numPr>
        <w:tabs>
          <w:tab w:val="left" w:pos="540" w:leader="none"/>
          <w:tab w:val="left" w:pos="900" w:leader="none"/>
        </w:tabs>
        <w:rPr>
          <w:sz w:val="20"/>
        </w:rPr>
      </w:pPr>
      <w:r>
        <w:rPr>
          <w:sz w:val="20"/>
        </w:rPr>
        <w:t>We will take action to protect EES’ existing book—only to the extent that our actions have a high likelihood of success or there is a high value/cost or risk/cost ratio.</w:t>
      </w:r>
    </w:p>
    <w:p>
      <w:pPr>
        <w:pStyle w:val="Normal"/>
        <w:rPr>
          <w:sz w:val="20"/>
        </w:rPr>
      </w:pPr>
      <w:r>
        <w:rPr>
          <w:sz w:val="20"/>
        </w:rPr>
      </w:r>
    </w:p>
    <w:p>
      <w:pPr>
        <w:pStyle w:val="Normal"/>
        <w:numPr>
          <w:ilvl w:val="0"/>
          <w:numId w:val="2"/>
        </w:numPr>
        <w:tabs>
          <w:tab w:val="left" w:pos="540" w:leader="none"/>
          <w:tab w:val="left" w:pos="900" w:leader="none"/>
        </w:tabs>
        <w:rPr>
          <w:sz w:val="20"/>
        </w:rPr>
      </w:pPr>
      <w:r>
        <w:rPr>
          <w:sz w:val="20"/>
        </w:rPr>
        <w:t>We will support existing and potential ENA transactions, such as power plant development.</w:t>
      </w:r>
    </w:p>
    <w:p>
      <w:pPr>
        <w:pStyle w:val="Normal"/>
        <w:rPr>
          <w:sz w:val="20"/>
        </w:rPr>
      </w:pPr>
      <w:r>
        <w:rPr>
          <w:sz w:val="20"/>
        </w:rPr>
      </w:r>
    </w:p>
    <w:p>
      <w:pPr>
        <w:pStyle w:val="Normal"/>
        <w:numPr>
          <w:ilvl w:val="0"/>
          <w:numId w:val="2"/>
        </w:numPr>
        <w:tabs>
          <w:tab w:val="left" w:pos="540" w:leader="none"/>
          <w:tab w:val="left" w:pos="900" w:leader="none"/>
        </w:tabs>
        <w:rPr>
          <w:sz w:val="20"/>
        </w:rPr>
      </w:pPr>
      <w:r>
        <w:rPr>
          <w:sz w:val="20"/>
        </w:rPr>
        <w:t>We recognize the importance and value of improving our  relationships with the utilities. Thus, we will work to leverage our regulatory knowledge and relationships to improve relationships with utilities by demonstrating mutual value through business ventures.</w:t>
      </w:r>
    </w:p>
    <w:p>
      <w:pPr>
        <w:pStyle w:val="Normal"/>
        <w:rPr>
          <w:sz w:val="20"/>
        </w:rPr>
      </w:pPr>
      <w:r>
        <w:rPr>
          <w:sz w:val="20"/>
        </w:rPr>
      </w:r>
    </w:p>
    <w:p>
      <w:pPr>
        <w:pStyle w:val="Heading8"/>
        <w:ind w:hanging="0" w:start="0"/>
        <w:rPr/>
      </w:pPr>
      <w:r>
        <w:rPr/>
        <w:t>Part 2—Posture by Forum</w:t>
      </w:r>
    </w:p>
    <w:p>
      <w:pPr>
        <w:pStyle w:val="Normal"/>
        <w:rPr>
          <w:sz w:val="20"/>
        </w:rPr>
      </w:pPr>
      <w:r>
        <w:rPr>
          <w:sz w:val="20"/>
        </w:rPr>
      </w:r>
    </w:p>
    <w:p>
      <w:pPr>
        <w:pStyle w:val="Normal"/>
        <w:rPr/>
      </w:pPr>
      <w:r>
        <w:rPr>
          <w:sz w:val="20"/>
        </w:rPr>
        <w:tab/>
      </w:r>
      <w:r>
        <w:rPr>
          <w:sz w:val="20"/>
          <w:u w:val="single"/>
        </w:rPr>
        <w:t>CPUC</w:t>
      </w:r>
      <w:r>
        <w:rPr>
          <w:sz w:val="20"/>
        </w:rPr>
        <w:t>.  Government Affairs has actively participated in CPUC matters for the past three years.  Our level of activity was driven by:  (1) our business interest in opening the California market; (2) after the market was open, whether a particular matter had an impact on the book of existing EES business; and (3) whether the matter opens new business opportunities.These efforts, overall,  have been  moderately successful.</w:t>
      </w:r>
    </w:p>
    <w:p>
      <w:pPr>
        <w:pStyle w:val="Normal"/>
        <w:rPr>
          <w:sz w:val="20"/>
        </w:rPr>
      </w:pPr>
      <w:r>
        <w:rPr>
          <w:sz w:val="20"/>
        </w:rPr>
      </w:r>
    </w:p>
    <w:p>
      <w:pPr>
        <w:pStyle w:val="Subject"/>
        <w:tabs>
          <w:tab w:val="left" w:pos="540" w:leader="none"/>
        </w:tabs>
        <w:rPr/>
      </w:pPr>
      <w:r>
        <w:rPr/>
        <w:t xml:space="preserve">Over time, we have substantially reduced our expenditures for outside counsel and consultants.  In the past two years, we have reduced costs by increasing our reliance on coalitions such as:  (1) the Alliance for Retail Markets; (2) the Western Power Trading Forum, (3) the Independent Energy Producers, and (4) other </w:t>
      </w:r>
      <w:r>
        <w:rPr>
          <w:i/>
        </w:rPr>
        <w:t xml:space="preserve">ad hoc </w:t>
      </w:r>
      <w:r>
        <w:rPr/>
        <w:t>coalitions.</w:t>
      </w:r>
    </w:p>
    <w:p>
      <w:pPr>
        <w:pStyle w:val="Normal"/>
        <w:rPr>
          <w:sz w:val="20"/>
        </w:rPr>
      </w:pPr>
      <w:r>
        <w:rPr>
          <w:sz w:val="20"/>
        </w:rPr>
      </w:r>
    </w:p>
    <w:p>
      <w:pPr>
        <w:pStyle w:val="Normal"/>
        <w:rPr>
          <w:sz w:val="20"/>
        </w:rPr>
      </w:pPr>
      <w:r>
        <w:rPr>
          <w:sz w:val="20"/>
        </w:rPr>
        <w:t>Given the current political environment and the stance of CPUC president Lynch and Commissioner Wood, we are proposing a substantial reduction in our  level of activity and our presence before the CPUC.  This change in posture is supported the observations that:  (1) we will have a reduced likelihood of success in matters affecting our book; and (2) current politics are unlikely to support massive structural changes to the California markets.  This posture may need to be modified if significant structural issues of the retail market are examined in the Commission’s Investigation or if the legislature directs the CPUC to implement statutes.</w:t>
      </w:r>
    </w:p>
    <w:p>
      <w:pPr>
        <w:pStyle w:val="Normal"/>
        <w:rPr>
          <w:sz w:val="20"/>
        </w:rPr>
      </w:pPr>
      <w:r>
        <w:rPr>
          <w:sz w:val="20"/>
        </w:rPr>
      </w:r>
    </w:p>
    <w:p>
      <w:pPr>
        <w:pStyle w:val="Normal"/>
        <w:rPr>
          <w:sz w:val="20"/>
        </w:rPr>
      </w:pPr>
      <w:r>
        <w:rPr>
          <w:sz w:val="20"/>
        </w:rPr>
        <w:t xml:space="preserve">Our recommended posture for 2000 is as follows:  </w:t>
      </w:r>
    </w:p>
    <w:p>
      <w:pPr>
        <w:pStyle w:val="Normal"/>
        <w:rPr>
          <w:sz w:val="20"/>
        </w:rPr>
      </w:pPr>
      <w:r>
        <w:rPr>
          <w:sz w:val="20"/>
        </w:rPr>
      </w:r>
    </w:p>
    <w:p>
      <w:pPr>
        <w:pStyle w:val="Normal"/>
        <w:numPr>
          <w:ilvl w:val="0"/>
          <w:numId w:val="3"/>
        </w:numPr>
        <w:rPr>
          <w:sz w:val="20"/>
        </w:rPr>
      </w:pPr>
      <w:r>
        <w:rPr>
          <w:sz w:val="20"/>
        </w:rPr>
        <w:t xml:space="preserve">we will play defense as necessary to protect our book or commercial interests.  Participation will be limited to issues with significant commercial interest,  a high likelihood of success,  and/or where our contribution to the particular resolution is unique.  </w:t>
      </w:r>
    </w:p>
    <w:p>
      <w:pPr>
        <w:pStyle w:val="Normal"/>
        <w:numPr>
          <w:ilvl w:val="0"/>
          <w:numId w:val="3"/>
        </w:numPr>
        <w:rPr>
          <w:sz w:val="20"/>
        </w:rPr>
      </w:pPr>
      <w:r>
        <w:rPr>
          <w:sz w:val="20"/>
        </w:rPr>
        <w:t xml:space="preserve">We will not look to the CPUC as the primary venue for resolving issues.  Our first effort will be to work with the affected utility and/or other interested parties to find a commercial resolution, including settlement, to a problem or set of problems.  </w:t>
      </w:r>
    </w:p>
    <w:p>
      <w:pPr>
        <w:pStyle w:val="Normal"/>
        <w:numPr>
          <w:ilvl w:val="0"/>
          <w:numId w:val="3"/>
        </w:numPr>
        <w:rPr>
          <w:sz w:val="20"/>
        </w:rPr>
      </w:pPr>
      <w:r>
        <w:rPr>
          <w:sz w:val="20"/>
        </w:rPr>
        <w:t xml:space="preserve">When we participate, we will participate through ARM, WPTF, IEP or other </w:t>
      </w:r>
      <w:r>
        <w:rPr>
          <w:i/>
          <w:sz w:val="20"/>
        </w:rPr>
        <w:t xml:space="preserve">ad hoc </w:t>
      </w:r>
      <w:r>
        <w:rPr>
          <w:sz w:val="20"/>
        </w:rPr>
        <w:t>coalitions to the greatest extent possible, unless we have a unique position.</w:t>
      </w:r>
    </w:p>
    <w:p>
      <w:pPr>
        <w:pStyle w:val="Normal"/>
        <w:rPr>
          <w:sz w:val="20"/>
        </w:rPr>
      </w:pPr>
      <w:r>
        <w:rPr>
          <w:sz w:val="20"/>
        </w:rPr>
      </w:r>
    </w:p>
    <w:p>
      <w:pPr>
        <w:pStyle w:val="Heading1"/>
        <w:ind w:firstLine="540" w:start="0" w:end="0"/>
        <w:rPr/>
      </w:pPr>
      <w:r>
        <w:rPr>
          <w:rFonts w:cs="Arial" w:ascii="Arial" w:hAnsi="Arial"/>
          <w:sz w:val="20"/>
        </w:rPr>
        <w:t>ISO</w:t>
      </w:r>
      <w:r>
        <w:rPr>
          <w:rFonts w:cs="Arial" w:ascii="Arial" w:hAnsi="Arial"/>
          <w:sz w:val="20"/>
          <w:u w:val="none"/>
        </w:rPr>
        <w:t>.   To date in 2000, we have actively participated on a range of matters before the ISO such as congestion management  and interconnection policy.  On these matters, we have been generally supportive of the ISO and ISO staff.  We will continue to take this posture for the remainder of 2000 and in 2001.   We expect a high level of activity at both the staff and Board levels.</w:t>
      </w:r>
    </w:p>
    <w:p>
      <w:pPr>
        <w:pStyle w:val="Normal"/>
        <w:rPr>
          <w:rFonts w:ascii="Arial" w:hAnsi="Arial" w:cs="Arial"/>
          <w:sz w:val="20"/>
          <w:u w:val="none"/>
        </w:rPr>
      </w:pPr>
      <w:r>
        <w:rPr>
          <w:rFonts w:cs="Arial"/>
          <w:sz w:val="20"/>
          <w:u w:val="none"/>
        </w:rPr>
      </w:r>
    </w:p>
    <w:p>
      <w:pPr>
        <w:pStyle w:val="Normal"/>
        <w:rPr>
          <w:sz w:val="20"/>
        </w:rPr>
      </w:pPr>
      <w:r>
        <w:rPr>
          <w:sz w:val="20"/>
        </w:rPr>
        <w:t>While we have been supportive of the ISO and ISO staff on some matters, we have also challenged several ISO tariff filings at the FERC.  We will continue to challenge matters that affect our retail book and our trading activity before FERC.  Given the structure of the ISO tariff and ISO Governance, we see very few opportunities to reduce our activities before FERC.  However, we will continue to process and prioritize ISO issues through EES and West Desks.</w:t>
      </w:r>
    </w:p>
    <w:p>
      <w:pPr>
        <w:pStyle w:val="Subject"/>
        <w:tabs>
          <w:tab w:val="left" w:pos="540" w:leader="none"/>
        </w:tabs>
        <w:rPr>
          <w:sz w:val="20"/>
        </w:rPr>
      </w:pPr>
      <w:r>
        <w:rPr>
          <w:sz w:val="20"/>
        </w:rPr>
      </w:r>
    </w:p>
    <w:p>
      <w:pPr>
        <w:pStyle w:val="Heading1"/>
        <w:ind w:firstLine="720" w:start="0" w:end="0"/>
        <w:rPr/>
      </w:pPr>
      <w:r>
        <w:rPr>
          <w:rFonts w:cs="Arial" w:ascii="Arial" w:hAnsi="Arial"/>
          <w:sz w:val="20"/>
        </w:rPr>
        <w:t>PX</w:t>
      </w:r>
      <w:r>
        <w:rPr>
          <w:rFonts w:cs="Arial" w:ascii="Arial" w:hAnsi="Arial"/>
          <w:sz w:val="20"/>
          <w:u w:val="none"/>
        </w:rPr>
        <w:t>.  Traditionally, we have not been an active player before the PX.  For the remainder 2000 and in 2001, we intend to maintain this posture.  We will likely side with the PX, however, on structural issues.  Given Sempra’s push to merge the PX and ISO, we expect PX structure to be an issue before the legislature and administration.</w:t>
      </w:r>
    </w:p>
    <w:p>
      <w:pPr>
        <w:pStyle w:val="Normal"/>
        <w:rPr>
          <w:rFonts w:ascii="Arial" w:hAnsi="Arial" w:cs="Arial"/>
          <w:sz w:val="20"/>
          <w:u w:val="none"/>
        </w:rPr>
      </w:pPr>
      <w:r>
        <w:rPr>
          <w:rFonts w:cs="Arial"/>
          <w:sz w:val="20"/>
          <w:u w:val="none"/>
        </w:rPr>
      </w:r>
    </w:p>
    <w:p>
      <w:pPr>
        <w:pStyle w:val="Heading1"/>
        <w:ind w:firstLine="720" w:start="0" w:end="0"/>
        <w:rPr/>
      </w:pPr>
      <w:r>
        <w:rPr>
          <w:rFonts w:cs="Arial" w:ascii="Arial" w:hAnsi="Arial"/>
          <w:sz w:val="20"/>
        </w:rPr>
        <w:t>CEC</w:t>
      </w:r>
      <w:r>
        <w:rPr>
          <w:rFonts w:cs="Arial" w:ascii="Arial" w:hAnsi="Arial"/>
          <w:sz w:val="20"/>
          <w:u w:val="none"/>
        </w:rPr>
        <w:t>.  Our activities before the CEC have been focused on power plan siting, the development of an interconnection policy for distributed generation, and renewable credits.  We intend to maintain this posture for the remainder of 2000 and in 2001.  In this regard, we will support the CEC’s effort to maintain “Lead Agency” status for power plant siting.</w:t>
      </w:r>
    </w:p>
    <w:p>
      <w:pPr>
        <w:pStyle w:val="Normal"/>
        <w:rPr>
          <w:rFonts w:ascii="Arial" w:hAnsi="Arial" w:cs="Arial"/>
          <w:b/>
          <w:sz w:val="20"/>
          <w:u w:val="single"/>
        </w:rPr>
      </w:pPr>
      <w:r>
        <w:rPr>
          <w:rFonts w:cs="Arial"/>
          <w:b/>
          <w:sz w:val="20"/>
          <w:u w:val="single"/>
        </w:rPr>
      </w:r>
    </w:p>
    <w:p>
      <w:pPr>
        <w:pStyle w:val="Heading1"/>
        <w:ind w:firstLine="720" w:start="0" w:end="0"/>
        <w:rPr/>
      </w:pPr>
      <w:r>
        <w:rPr>
          <w:rFonts w:cs="Arial" w:ascii="Arial" w:hAnsi="Arial"/>
          <w:sz w:val="20"/>
        </w:rPr>
        <w:t>EOB</w:t>
      </w:r>
      <w:r>
        <w:rPr>
          <w:rFonts w:cs="Arial" w:ascii="Arial" w:hAnsi="Arial"/>
          <w:sz w:val="20"/>
          <w:u w:val="none"/>
        </w:rPr>
        <w:t xml:space="preserve">.    We intend to keep an extremely low profile before the EOB.   Our low profile is driven by a desire to keep Enron out of the politics and support our general position on ISO governance.  </w:t>
      </w:r>
    </w:p>
    <w:p>
      <w:pPr>
        <w:pStyle w:val="Normal"/>
        <w:rPr>
          <w:rFonts w:ascii="Arial" w:hAnsi="Arial" w:cs="Arial"/>
          <w:sz w:val="20"/>
          <w:u w:val="none"/>
        </w:rPr>
      </w:pPr>
      <w:r>
        <w:rPr>
          <w:rFonts w:cs="Arial"/>
          <w:sz w:val="20"/>
          <w:u w:val="none"/>
        </w:rPr>
      </w:r>
    </w:p>
    <w:p>
      <w:pPr>
        <w:pStyle w:val="Subject"/>
        <w:tabs>
          <w:tab w:val="left" w:pos="540" w:leader="none"/>
        </w:tabs>
        <w:rPr/>
      </w:pPr>
      <w:r>
        <w:rPr/>
        <w:tab/>
        <w:tab/>
      </w:r>
      <w:r>
        <w:rPr>
          <w:u w:val="single"/>
        </w:rPr>
        <w:t>Legislature</w:t>
      </w:r>
      <w:r>
        <w:rPr/>
        <w:t xml:space="preserve">.   We are at a critical juncture for California restructuring.  Our analysis indicates that the legislature will focus on a host of restructuring issues during the upcoming session.  It offers Enron a forum for seeking a global settlement or series of settlements on matters such as the rate freeze, CTC rolloff, and creating a core/non-core distinction between large and small customers.  Note that we expect the Governor will call a special session on electricity issues.  </w:t>
      </w:r>
    </w:p>
    <w:p>
      <w:pPr>
        <w:pStyle w:val="Subject"/>
        <w:tabs>
          <w:tab w:val="left" w:pos="540" w:leader="none"/>
        </w:tabs>
        <w:rPr/>
      </w:pPr>
      <w:r>
        <w:rPr/>
      </w:r>
    </w:p>
    <w:p>
      <w:pPr>
        <w:pStyle w:val="Heading1"/>
        <w:ind w:firstLine="720" w:start="0" w:end="0"/>
        <w:rPr>
          <w:rFonts w:ascii="Arial" w:hAnsi="Arial" w:cs="Arial"/>
          <w:sz w:val="20"/>
          <w:u w:val="none"/>
        </w:rPr>
      </w:pPr>
      <w:r>
        <w:rPr>
          <w:rFonts w:cs="Arial" w:ascii="Arial" w:hAnsi="Arial"/>
          <w:sz w:val="20"/>
          <w:u w:val="none"/>
        </w:rPr>
        <w:t xml:space="preserve">Given the importance of the legislature and the risks the legislative session will create, we recommend the following posture: </w:t>
      </w:r>
    </w:p>
    <w:p>
      <w:pPr>
        <w:pStyle w:val="Heading1"/>
        <w:ind w:firstLine="720" w:start="0" w:end="0"/>
        <w:rPr>
          <w:rFonts w:ascii="Arial" w:hAnsi="Arial" w:cs="Arial"/>
          <w:sz w:val="20"/>
          <w:u w:val="none"/>
        </w:rPr>
      </w:pPr>
      <w:r>
        <w:rPr>
          <w:rFonts w:cs="Arial" w:ascii="Arial" w:hAnsi="Arial"/>
          <w:sz w:val="20"/>
          <w:u w:val="none"/>
        </w:rPr>
      </w:r>
    </w:p>
    <w:p>
      <w:pPr>
        <w:pStyle w:val="Heading1"/>
        <w:numPr>
          <w:ilvl w:val="0"/>
          <w:numId w:val="4"/>
        </w:numPr>
        <w:rPr>
          <w:rFonts w:ascii="Arial" w:hAnsi="Arial" w:cs="Arial"/>
          <w:b/>
          <w:sz w:val="20"/>
          <w:u w:val="none"/>
        </w:rPr>
      </w:pPr>
      <w:r>
        <w:rPr>
          <w:rFonts w:cs="Arial" w:ascii="Arial" w:hAnsi="Arial"/>
          <w:sz w:val="20"/>
          <w:u w:val="none"/>
        </w:rPr>
        <w:t>We will be pro-active</w:t>
      </w:r>
    </w:p>
    <w:p>
      <w:pPr>
        <w:pStyle w:val="Heading1"/>
        <w:numPr>
          <w:ilvl w:val="0"/>
          <w:numId w:val="4"/>
        </w:numPr>
        <w:rPr>
          <w:rFonts w:ascii="Arial" w:hAnsi="Arial" w:cs="Arial"/>
          <w:b/>
          <w:sz w:val="20"/>
          <w:u w:val="none"/>
        </w:rPr>
      </w:pPr>
      <w:r>
        <w:rPr>
          <w:rFonts w:cs="Arial" w:ascii="Arial" w:hAnsi="Arial"/>
          <w:sz w:val="20"/>
          <w:u w:val="none"/>
        </w:rPr>
        <w:t>We will educate new legislators</w:t>
      </w:r>
    </w:p>
    <w:p>
      <w:pPr>
        <w:pStyle w:val="Heading1"/>
        <w:numPr>
          <w:ilvl w:val="0"/>
          <w:numId w:val="4"/>
        </w:numPr>
        <w:rPr>
          <w:rFonts w:ascii="Arial" w:hAnsi="Arial" w:cs="Arial"/>
          <w:b/>
          <w:sz w:val="20"/>
          <w:u w:val="none"/>
        </w:rPr>
      </w:pPr>
      <w:r>
        <w:rPr>
          <w:rFonts w:cs="Arial" w:ascii="Arial" w:hAnsi="Arial"/>
          <w:sz w:val="20"/>
          <w:u w:val="none"/>
        </w:rPr>
        <w:t>We will maintain current relationships</w:t>
      </w:r>
    </w:p>
    <w:p>
      <w:pPr>
        <w:pStyle w:val="Heading1"/>
        <w:numPr>
          <w:ilvl w:val="0"/>
          <w:numId w:val="4"/>
        </w:numPr>
        <w:rPr>
          <w:rFonts w:ascii="Arial" w:hAnsi="Arial" w:cs="Arial"/>
          <w:b/>
          <w:sz w:val="20"/>
          <w:u w:val="none"/>
        </w:rPr>
      </w:pPr>
      <w:r>
        <w:rPr>
          <w:rFonts w:cs="Arial" w:ascii="Arial" w:hAnsi="Arial"/>
          <w:sz w:val="20"/>
          <w:u w:val="none"/>
        </w:rPr>
        <w:t>We will seek a high profile</w:t>
      </w:r>
    </w:p>
    <w:p>
      <w:pPr>
        <w:pStyle w:val="Heading1"/>
        <w:numPr>
          <w:ilvl w:val="0"/>
          <w:numId w:val="4"/>
        </w:numPr>
        <w:rPr>
          <w:rFonts w:ascii="Arial" w:hAnsi="Arial" w:cs="Arial"/>
          <w:b/>
          <w:sz w:val="20"/>
          <w:u w:val="none"/>
        </w:rPr>
      </w:pPr>
      <w:r>
        <w:rPr>
          <w:rFonts w:cs="Arial" w:ascii="Arial" w:hAnsi="Arial"/>
          <w:sz w:val="20"/>
          <w:u w:val="none"/>
        </w:rPr>
        <w:t xml:space="preserve">We will build on Enron’s reputation as the “honest broker.”  </w:t>
      </w:r>
    </w:p>
    <w:p>
      <w:pPr>
        <w:pStyle w:val="Subject"/>
        <w:tabs>
          <w:tab w:val="left" w:pos="540" w:leader="none"/>
        </w:tabs>
        <w:rPr>
          <w:rFonts w:ascii="Arial" w:hAnsi="Arial" w:cs="Arial"/>
          <w:b/>
          <w:sz w:val="20"/>
          <w:u w:val="none"/>
        </w:rPr>
      </w:pPr>
      <w:r>
        <w:rPr>
          <w:rFonts w:cs="Arial"/>
          <w:b/>
          <w:sz w:val="20"/>
          <w:u w:val="none"/>
        </w:rPr>
      </w:r>
    </w:p>
    <w:p>
      <w:pPr>
        <w:pStyle w:val="Normal"/>
        <w:rPr>
          <w:sz w:val="20"/>
        </w:rPr>
      </w:pPr>
      <w:r>
        <w:rPr>
          <w:sz w:val="20"/>
        </w:rPr>
        <w:t xml:space="preserve">We recognize that this recommended posture does not dictate budget or staffing levels for the 2001 legislature.  We suggest that the decision on budget and staffing levels be made on the basis of:  (a) the cost of our involvement; (b) the ability of others to represent our interests; (c) the value that our presence adds or creates; and (d) the long-term effect of the level of presence chosen.  Attached is a table that addresses each criterion.  </w:t>
      </w:r>
    </w:p>
    <w:p>
      <w:pPr>
        <w:pStyle w:val="Normal"/>
        <w:rPr>
          <w:sz w:val="20"/>
        </w:rPr>
      </w:pPr>
      <w:r>
        <w:rPr>
          <w:sz w:val="20"/>
        </w:rPr>
      </w:r>
    </w:p>
    <w:p>
      <w:pPr>
        <w:pStyle w:val="Normal"/>
        <w:rPr>
          <w:sz w:val="20"/>
        </w:rPr>
      </w:pPr>
      <w:r>
        <w:rPr>
          <w:sz w:val="20"/>
        </w:rPr>
        <w:t>Given the attached table and the risks attendant to the legislative session we recommend that Enron start the 2001 legislative session with FY 2000 external “staffing” levels and campaign funding levels.   We make this recommendation notwithstanding concerns with our dedication of resources to the legislature because of the highly politicized nature of restructuring issues in California and the attendant risks of legislative reregulation in 2001.</w:t>
      </w:r>
    </w:p>
    <w:p>
      <w:pPr>
        <w:pStyle w:val="Normal"/>
        <w:rPr>
          <w:sz w:val="20"/>
        </w:rPr>
      </w:pPr>
      <w:r>
        <w:rPr>
          <w:sz w:val="20"/>
        </w:rPr>
      </w:r>
    </w:p>
    <w:p>
      <w:pPr>
        <w:pStyle w:val="Normal"/>
        <w:spacing w:lineRule="atLeast" w:line="240"/>
        <w:rPr>
          <w:color w:val="000000"/>
          <w:sz w:val="20"/>
        </w:rPr>
      </w:pPr>
      <w:r>
        <w:rPr>
          <w:color w:val="000000"/>
          <w:sz w:val="20"/>
        </w:rPr>
        <w:t>If this recommendation is approved, Sandi McCubbin will continue to coordinate our efforts before the legislature. Sandi will be drawing upon the collective experience of Jeff Dasovich, Sue Mara, and Mona Petrochko.  Legislative activities will be tightly coordinated with activities and efforts  that take place outside the capitol building in Sacramento.</w:t>
      </w:r>
    </w:p>
    <w:p>
      <w:pPr>
        <w:pStyle w:val="Normal"/>
        <w:spacing w:lineRule="atLeast" w:line="240"/>
        <w:rPr>
          <w:color w:val="000000"/>
          <w:sz w:val="20"/>
        </w:rPr>
      </w:pPr>
      <w:r>
        <w:rPr>
          <w:color w:val="000000"/>
          <w:sz w:val="20"/>
        </w:rPr>
      </w:r>
    </w:p>
    <w:p>
      <w:pPr>
        <w:pStyle w:val="Normal"/>
        <w:spacing w:lineRule="atLeast" w:line="240"/>
        <w:rPr>
          <w:color w:val="000000"/>
          <w:sz w:val="20"/>
        </w:rPr>
      </w:pPr>
      <w:r>
        <w:rPr>
          <w:color w:val="000000"/>
          <w:sz w:val="20"/>
        </w:rPr>
        <w:t xml:space="preserve">In terms of outside assistance, in 2001 we recommend retaining both Hedy Govenar’s firm and Bev Hanson.  The combination of these two firms gives Enron strength in both houses and parties of the legislature.  We note that Govenar also has key relationships with the Adminsitration.   Note that we expect an increase in the retainers for both Hanson and Govenar.  </w:t>
      </w:r>
    </w:p>
    <w:p>
      <w:pPr>
        <w:pStyle w:val="Normal"/>
        <w:spacing w:lineRule="atLeast" w:line="240"/>
        <w:rPr>
          <w:color w:val="000000"/>
          <w:sz w:val="20"/>
        </w:rPr>
      </w:pPr>
      <w:r>
        <w:rPr>
          <w:color w:val="000000"/>
          <w:sz w:val="20"/>
        </w:rPr>
      </w:r>
    </w:p>
    <w:p>
      <w:pPr>
        <w:pStyle w:val="Normal"/>
        <w:spacing w:lineRule="atLeast" w:line="240"/>
        <w:rPr>
          <w:color w:val="000000"/>
          <w:sz w:val="20"/>
        </w:rPr>
      </w:pPr>
      <w:r>
        <w:rPr>
          <w:color w:val="000000"/>
          <w:sz w:val="20"/>
        </w:rPr>
        <w:t>For 2001 we also recommend retaining Mike Day as our outside counsel on legislative matters.  Day has been consistently responsive on legislative matters and continues to be an asset to the company in his role as outside counsel.  His legal skills remain necessary as no member of the San Francisco office is an attorney.  In 2000, we retained Day by using a fixed retainer of $5,000/month.</w:t>
      </w:r>
    </w:p>
    <w:p>
      <w:pPr>
        <w:pStyle w:val="Normal"/>
        <w:spacing w:lineRule="atLeast" w:line="240"/>
        <w:rPr>
          <w:color w:val="000000"/>
          <w:sz w:val="20"/>
        </w:rPr>
      </w:pPr>
      <w:r>
        <w:rPr>
          <w:color w:val="000000"/>
          <w:sz w:val="20"/>
        </w:rPr>
      </w:r>
    </w:p>
    <w:p>
      <w:pPr>
        <w:pStyle w:val="Normal"/>
        <w:spacing w:lineRule="atLeast" w:line="240"/>
        <w:rPr>
          <w:color w:val="000000"/>
          <w:sz w:val="20"/>
        </w:rPr>
      </w:pPr>
      <w:r>
        <w:rPr>
          <w:color w:val="000000"/>
          <w:sz w:val="20"/>
        </w:rPr>
        <w:t xml:space="preserve">If budget reductions are necessary for 2001, we recommend that the reductions be made to the campaign participation budget rather than the budget used to fund outside resources.   In terms of our contribution strategy, we operated in 2000 with a contributions budget of $136,500.  While 2001 is not an  election year, we will nonetheless be expected to fuel the Sacramento machine.   Our strategy for campaign participation will be similar to the strategy applied in 2000.  </w:t>
      </w:r>
    </w:p>
    <w:p>
      <w:pPr>
        <w:pStyle w:val="Normal"/>
        <w:spacing w:lineRule="atLeast" w:line="240"/>
        <w:rPr>
          <w:color w:val="000000"/>
          <w:sz w:val="20"/>
        </w:rPr>
      </w:pPr>
      <w:r>
        <w:rPr>
          <w:color w:val="000000"/>
          <w:sz w:val="20"/>
        </w:rPr>
      </w:r>
    </w:p>
    <w:p>
      <w:pPr>
        <w:pStyle w:val="Normal"/>
        <w:rPr/>
      </w:pPr>
      <w:r>
        <w:rPr>
          <w:b/>
          <w:sz w:val="20"/>
        </w:rPr>
        <w:tab/>
      </w:r>
      <w:r>
        <w:rPr>
          <w:sz w:val="20"/>
          <w:u w:val="single"/>
        </w:rPr>
        <w:t>Administration</w:t>
      </w:r>
      <w:r>
        <w:rPr>
          <w:sz w:val="20"/>
        </w:rPr>
        <w:t xml:space="preserve">.  There have been numerous questions concerning Governor Davis and his stance on restructuring.  For the remainder of 2000 and in 2001, we intend to continue our efforts to work with the Governor.  Recent discussions between the Governor Jeff Skilling and Steve Kean may indicate a willingness to work with Enron—however, we recognize that the proof is in the political pudding.  </w:t>
      </w:r>
    </w:p>
    <w:p>
      <w:pPr>
        <w:pStyle w:val="Normal"/>
        <w:rPr>
          <w:sz w:val="20"/>
        </w:rPr>
      </w:pPr>
      <w:r>
        <w:rPr>
          <w:sz w:val="20"/>
        </w:rPr>
      </w:r>
    </w:p>
    <w:p>
      <w:pPr>
        <w:pStyle w:val="Normal"/>
        <w:rPr>
          <w:sz w:val="20"/>
        </w:rPr>
      </w:pPr>
      <w:r>
        <w:rPr>
          <w:sz w:val="20"/>
        </w:rPr>
        <w:t xml:space="preserve">We do plan on expanding our work with Governor’s Davis’ administration—including the “Green Team.”  In this regard, we will focus our efforts on building allies in the administration outside of CPUC Commissioners he has appointed.  Note that one of our major action items is in helping the administration identify the third commission appointment available to the Governor.  </w:t>
      </w:r>
    </w:p>
    <w:p>
      <w:pPr>
        <w:pStyle w:val="Normal"/>
        <w:rPr>
          <w:sz w:val="20"/>
        </w:rPr>
      </w:pPr>
      <w:r>
        <w:rPr>
          <w:sz w:val="20"/>
        </w:rPr>
      </w:r>
    </w:p>
    <w:p>
      <w:pPr>
        <w:pStyle w:val="Heading1"/>
        <w:ind w:firstLine="720" w:start="0" w:end="0"/>
        <w:rPr/>
      </w:pPr>
      <w:r>
        <w:rPr>
          <w:rFonts w:cs="Arial" w:ascii="Arial" w:hAnsi="Arial"/>
          <w:sz w:val="20"/>
        </w:rPr>
        <w:t>FERC – CA Personnel Only.</w:t>
      </w:r>
      <w:r>
        <w:rPr>
          <w:rFonts w:cs="Arial" w:ascii="Arial" w:hAnsi="Arial"/>
          <w:sz w:val="20"/>
          <w:u w:val="none"/>
        </w:rPr>
        <w:t xml:space="preserve">  As indicated above, we expect continued FERC tariff filings by the ISO and continued FERC protests of those filings.  For the end of 2000 and 2001, we intend to continue to prioritize our efforts at FERC in consultation with the business units.  We will protest FERC filings by the ISO through coalitions wherever possible.  </w:t>
      </w:r>
    </w:p>
    <w:p>
      <w:pPr>
        <w:pStyle w:val="Normal"/>
        <w:rPr>
          <w:rFonts w:ascii="Arial" w:hAnsi="Arial" w:cs="Arial"/>
          <w:sz w:val="20"/>
          <w:u w:val="none"/>
        </w:rPr>
      </w:pPr>
      <w:r>
        <w:rPr>
          <w:rFonts w:cs="Arial"/>
          <w:sz w:val="20"/>
          <w:u w:val="none"/>
        </w:rPr>
      </w:r>
    </w:p>
    <w:p>
      <w:pPr>
        <w:pStyle w:val="Heading1"/>
        <w:ind w:firstLine="720" w:start="0" w:end="0"/>
        <w:rPr/>
      </w:pPr>
      <w:r>
        <w:rPr>
          <w:rFonts w:cs="Arial" w:ascii="Arial" w:hAnsi="Arial"/>
          <w:sz w:val="20"/>
        </w:rPr>
        <w:t>Media</w:t>
      </w:r>
      <w:r>
        <w:rPr>
          <w:rFonts w:cs="Arial" w:ascii="Arial" w:hAnsi="Arial"/>
          <w:sz w:val="20"/>
          <w:u w:val="none"/>
        </w:rPr>
        <w:t xml:space="preserve">.  An issue for additional consideration is whether Enron should develop a California-focused media effort.  While we recognize that this effort will be managed through the Public Affairs group in Houston, we recommend that Enron consider retaining a public affairs firm that can support both our business and government affairs interests in the state.  Numerous opportunities exist to report positively on Enron’s activities in California and nationwide.  These reporting opportunities can counter the negative press being directed at the generators and utilities.  </w:t>
      </w:r>
    </w:p>
    <w:p>
      <w:pPr>
        <w:pStyle w:val="Normal"/>
        <w:rPr>
          <w:rFonts w:ascii="Arial" w:hAnsi="Arial" w:cs="Arial"/>
          <w:sz w:val="20"/>
          <w:u w:val="none"/>
        </w:rPr>
      </w:pPr>
      <w:r>
        <w:rPr>
          <w:rFonts w:cs="Arial"/>
          <w:sz w:val="20"/>
          <w:u w:val="none"/>
        </w:rPr>
      </w:r>
    </w:p>
    <w:p>
      <w:pPr>
        <w:pStyle w:val="Normal"/>
        <w:rPr/>
      </w:pPr>
      <w:r>
        <w:rPr>
          <w:sz w:val="20"/>
        </w:rPr>
        <w:tab/>
      </w:r>
      <w:r>
        <w:rPr>
          <w:sz w:val="20"/>
          <w:u w:val="single"/>
        </w:rPr>
        <w:t>Community Affairs</w:t>
      </w:r>
      <w:r>
        <w:rPr>
          <w:sz w:val="20"/>
        </w:rPr>
        <w:t xml:space="preserve">.  We have not  finalized a community affairs strategy for California, but do recommend that we consider focusing Enron Corp. funds on certain limited, high profile, community affairs activities.  We can leverage these activities by seeking joint sponsorship opportunities with our customers and/or key elected officials.  </w:t>
      </w:r>
    </w:p>
    <w:p>
      <w:pPr>
        <w:pStyle w:val="Normal"/>
        <w:rPr>
          <w:sz w:val="20"/>
        </w:rPr>
      </w:pPr>
      <w:r>
        <w:rPr>
          <w:sz w:val="20"/>
        </w:rPr>
      </w:r>
    </w:p>
    <w:p>
      <w:pPr>
        <w:pStyle w:val="Heading8"/>
        <w:ind w:hanging="0" w:start="0"/>
        <w:rPr/>
      </w:pPr>
      <w:r>
        <w:rPr/>
        <w:t>Part 3—Prioritization</w:t>
      </w:r>
    </w:p>
    <w:p>
      <w:pPr>
        <w:pStyle w:val="Normal"/>
        <w:jc w:val="center"/>
        <w:rPr>
          <w:sz w:val="20"/>
        </w:rPr>
      </w:pPr>
      <w:r>
        <w:rPr>
          <w:sz w:val="20"/>
        </w:rPr>
      </w:r>
    </w:p>
    <w:p>
      <w:pPr>
        <w:pStyle w:val="Normal"/>
        <w:jc w:val="both"/>
        <w:rPr>
          <w:sz w:val="20"/>
        </w:rPr>
      </w:pPr>
      <w:r>
        <w:rPr>
          <w:sz w:val="20"/>
        </w:rPr>
        <w:t>We identified the following priorities for California:</w:t>
      </w:r>
    </w:p>
    <w:p>
      <w:pPr>
        <w:pStyle w:val="Normal"/>
        <w:jc w:val="both"/>
        <w:rPr>
          <w:sz w:val="20"/>
        </w:rPr>
      </w:pPr>
      <w:r>
        <w:rPr>
          <w:sz w:val="20"/>
        </w:rPr>
      </w:r>
    </w:p>
    <w:p>
      <w:pPr>
        <w:pStyle w:val="Subject"/>
        <w:tabs>
          <w:tab w:val="left" w:pos="540" w:leader="none"/>
        </w:tabs>
        <w:rPr/>
      </w:pPr>
      <w:r>
        <w:rPr/>
        <w:t>Wholesale Price Caps  -- increase the caps or maintain them at current levels.</w:t>
      </w:r>
    </w:p>
    <w:p>
      <w:pPr>
        <w:pStyle w:val="Normal"/>
        <w:rPr>
          <w:sz w:val="20"/>
        </w:rPr>
      </w:pPr>
      <w:r>
        <w:rPr>
          <w:sz w:val="20"/>
        </w:rPr>
        <w:t>Investigations -- support ENA legal in responding to CPUC, PX, ISO, Congressional and FERC investigations</w:t>
      </w:r>
    </w:p>
    <w:p>
      <w:pPr>
        <w:pStyle w:val="Normal"/>
        <w:rPr>
          <w:sz w:val="20"/>
        </w:rPr>
      </w:pPr>
      <w:r>
        <w:rPr>
          <w:sz w:val="20"/>
        </w:rPr>
        <w:t>PG&amp;E and Edison -- Develop commercially friendly solutions for CTC roll-off, PLR supply, undercollections.</w:t>
      </w:r>
    </w:p>
    <w:p>
      <w:pPr>
        <w:pStyle w:val="Normal"/>
        <w:rPr>
          <w:sz w:val="20"/>
        </w:rPr>
      </w:pPr>
      <w:r>
        <w:rPr>
          <w:sz w:val="20"/>
        </w:rPr>
        <w:t xml:space="preserve">Increase access to timely information from ISO.  </w:t>
      </w:r>
    </w:p>
    <w:p>
      <w:pPr>
        <w:pStyle w:val="Footer"/>
        <w:tabs>
          <w:tab w:val="clear" w:pos="4320"/>
          <w:tab w:val="clear" w:pos="8640"/>
          <w:tab w:val="left" w:pos="540" w:leader="none"/>
        </w:tabs>
        <w:rPr>
          <w:sz w:val="20"/>
        </w:rPr>
      </w:pPr>
      <w:r>
        <w:rPr>
          <w:sz w:val="20"/>
        </w:rPr>
        <w:t>PUC Appointment – work with administration to nominate PUC commissioner.</w:t>
      </w:r>
    </w:p>
    <w:p>
      <w:pPr>
        <w:pStyle w:val="Footer"/>
        <w:tabs>
          <w:tab w:val="clear" w:pos="4320"/>
          <w:tab w:val="clear" w:pos="8640"/>
          <w:tab w:val="left" w:pos="540" w:leader="none"/>
        </w:tabs>
        <w:rPr>
          <w:sz w:val="20"/>
        </w:rPr>
      </w:pPr>
      <w:r>
        <w:rPr>
          <w:sz w:val="20"/>
        </w:rPr>
        <w:t xml:space="preserve">Provide timely information to EES and ENA to maintain curves and support other business opportunities.  </w:t>
      </w:r>
    </w:p>
    <w:p>
      <w:pPr>
        <w:pStyle w:val="Footer"/>
        <w:tabs>
          <w:tab w:val="clear" w:pos="4320"/>
          <w:tab w:val="clear" w:pos="8640"/>
          <w:tab w:val="left" w:pos="540" w:leader="none"/>
        </w:tabs>
        <w:jc w:val="center"/>
        <w:rPr>
          <w:sz w:val="20"/>
        </w:rPr>
      </w:pPr>
      <w:r>
        <w:rPr>
          <w:sz w:val="20"/>
        </w:rPr>
      </w:r>
    </w:p>
    <w:p>
      <w:pPr>
        <w:pStyle w:val="Footer"/>
        <w:tabs>
          <w:tab w:val="clear" w:pos="4320"/>
          <w:tab w:val="clear" w:pos="8640"/>
          <w:tab w:val="left" w:pos="540" w:leader="none"/>
        </w:tabs>
        <w:jc w:val="center"/>
        <w:rPr>
          <w:sz w:val="20"/>
        </w:rPr>
      </w:pPr>
      <w:r>
        <w:rPr>
          <w:sz w:val="20"/>
        </w:rPr>
        <w:t>^^^^</w:t>
      </w:r>
    </w:p>
    <w:p>
      <w:pPr>
        <w:pStyle w:val="Footer"/>
        <w:tabs>
          <w:tab w:val="clear" w:pos="4320"/>
          <w:tab w:val="clear" w:pos="8640"/>
          <w:tab w:val="left" w:pos="540" w:leader="none"/>
        </w:tabs>
        <w:jc w:val="center"/>
        <w:rPr>
          <w:sz w:val="20"/>
        </w:rPr>
      </w:pPr>
      <w:r>
        <w:rPr>
          <w:sz w:val="20"/>
        </w:rPr>
      </w:r>
    </w:p>
    <w:p>
      <w:pPr>
        <w:pStyle w:val="Body"/>
        <w:ind w:start="0" w:end="0"/>
        <w:rPr>
          <w:color w:val="000000"/>
        </w:rPr>
      </w:pPr>
      <w:r>
        <w:rPr>
          <w:color w:val="000000"/>
        </w:rPr>
        <w:t xml:space="preserve">We look forward to discussing this strategy with you at your earliest convenience.  We are attempting to schedule a meeting with EES and ENA in October to present this strategy.  </w:t>
      </w:r>
      <w:r>
        <w:br w:type="page"/>
      </w:r>
    </w:p>
    <w:p>
      <w:pPr>
        <w:pStyle w:val="Body"/>
        <w:ind w:start="0" w:end="0"/>
        <w:rPr>
          <w:color w:val="000000"/>
        </w:rPr>
      </w:pPr>
      <w:r>
        <w:rPr>
          <w:color w:val="000000"/>
        </w:rPr>
      </w:r>
    </w:p>
    <w:p>
      <w:pPr>
        <w:pStyle w:val="Body"/>
        <w:ind w:start="0" w:end="0"/>
        <w:jc w:val="center"/>
        <w:rPr>
          <w:b/>
          <w:i/>
          <w:i/>
          <w:color w:val="000000"/>
        </w:rPr>
      </w:pPr>
      <w:r>
        <w:rPr>
          <w:b/>
          <w:i/>
          <w:color w:val="000000"/>
        </w:rPr>
        <w:t>Assessment of Alternatives—Legislative Posture</w:t>
      </w:r>
    </w:p>
    <w:p>
      <w:pPr>
        <w:pStyle w:val="Body"/>
        <w:ind w:start="0" w:end="0"/>
        <w:rPr>
          <w:b/>
          <w:i/>
          <w:i/>
          <w:color w:val="000000"/>
        </w:rPr>
      </w:pPr>
      <w:r>
        <w:rPr>
          <w:b/>
          <w:i/>
          <w:color w:val="000000"/>
        </w:rPr>
      </w:r>
    </w:p>
    <w:tbl>
      <w:tblPr>
        <w:tblW w:w="11016" w:type="dxa"/>
        <w:jc w:val="start"/>
        <w:tblInd w:w="0" w:type="dxa"/>
        <w:tblLayout w:type="fixed"/>
        <w:tblCellMar>
          <w:top w:w="0" w:type="dxa"/>
          <w:start w:w="108" w:type="dxa"/>
          <w:bottom w:w="0" w:type="dxa"/>
          <w:end w:w="108" w:type="dxa"/>
        </w:tblCellMar>
      </w:tblPr>
      <w:tblGrid>
        <w:gridCol w:w="2754"/>
        <w:gridCol w:w="2754"/>
        <w:gridCol w:w="2754"/>
        <w:gridCol w:w="2754"/>
      </w:tblGrid>
      <w:tr>
        <w:trPr/>
        <w:tc>
          <w:tcPr>
            <w:tcW w:w="275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Factor considered</w:t>
            </w:r>
          </w:p>
        </w:tc>
        <w:tc>
          <w:tcPr>
            <w:tcW w:w="275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Maintain our current presence</w:t>
            </w:r>
          </w:p>
        </w:tc>
        <w:tc>
          <w:tcPr>
            <w:tcW w:w="275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Reduce budget /presence</w:t>
            </w:r>
          </w:p>
        </w:tc>
        <w:tc>
          <w:tcPr>
            <w:tcW w:w="275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Eliminate outside resources and campaign participation</w:t>
            </w:r>
          </w:p>
        </w:tc>
      </w:tr>
      <w:tr>
        <w:trPr/>
        <w:tc>
          <w:tcPr>
            <w:tcW w:w="275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Cost</w:t>
            </w:r>
          </w:p>
        </w:tc>
        <w:tc>
          <w:tcPr>
            <w:tcW w:w="275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Our budget for outside services and campaign finance was approximately $260,000.  An increase in our presence would involve an increase in our campaign participation budget , but no additional outside resources.  This  budget included use of two lobbying firms, a retainer for outside counsel, and a campaign participation budget of $136,500.  This budget does not include our participation in CFEE, which has a cost of $30,000/year, plus approximately $10,000/year for the study trips sponsored by CFEE.</w:t>
            </w:r>
          </w:p>
          <w:p>
            <w:pPr>
              <w:pStyle w:val="Normal"/>
              <w:rPr>
                <w:sz w:val="20"/>
              </w:rPr>
            </w:pPr>
            <w:r>
              <w:rPr>
                <w:sz w:val="20"/>
              </w:rPr>
            </w:r>
          </w:p>
          <w:p>
            <w:pPr>
              <w:pStyle w:val="Normal"/>
              <w:rPr>
                <w:sz w:val="20"/>
              </w:rPr>
            </w:pPr>
            <w:r>
              <w:rPr>
                <w:sz w:val="20"/>
              </w:rPr>
              <w:t xml:space="preserve">For 2001, we can expect a increase in the cost of retaining our outside lobbyists.  </w:t>
            </w:r>
          </w:p>
        </w:tc>
        <w:tc>
          <w:tcPr>
            <w:tcW w:w="275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A budget reduction for 2001 is possible if we, e.g., limit our use of a lobbying firm to one outside firm and/or further reduce our campaign participation budget.</w:t>
            </w:r>
          </w:p>
          <w:p>
            <w:pPr>
              <w:pStyle w:val="Normal"/>
              <w:rPr>
                <w:sz w:val="20"/>
              </w:rPr>
            </w:pPr>
            <w:r>
              <w:rPr>
                <w:sz w:val="20"/>
              </w:rPr>
            </w:r>
          </w:p>
          <w:p>
            <w:pPr>
              <w:pStyle w:val="Normal"/>
              <w:spacing w:lineRule="atLeast" w:line="240"/>
              <w:rPr/>
            </w:pPr>
            <w:r>
              <w:rPr>
                <w:sz w:val="20"/>
              </w:rPr>
              <w:t xml:space="preserve">Note that a reduction in our use of outside lobbyists will likely have a greater effect on our access and ability to affect legislation then a reduction in our campaign  budget . </w:t>
            </w:r>
            <w:r>
              <w:rPr>
                <w:color w:val="000000"/>
                <w:sz w:val="20"/>
              </w:rPr>
              <w:t xml:space="preserve"> </w:t>
            </w:r>
          </w:p>
          <w:p>
            <w:pPr>
              <w:pStyle w:val="Normal"/>
              <w:spacing w:lineRule="atLeast" w:line="240"/>
              <w:rPr>
                <w:color w:val="000000"/>
                <w:sz w:val="20"/>
              </w:rPr>
            </w:pPr>
            <w:r>
              <w:rPr>
                <w:color w:val="000000"/>
                <w:sz w:val="20"/>
              </w:rPr>
            </w:r>
          </w:p>
          <w:p>
            <w:pPr>
              <w:pStyle w:val="Normal"/>
              <w:spacing w:lineRule="atLeast" w:line="240"/>
              <w:rPr>
                <w:color w:val="000000"/>
                <w:sz w:val="20"/>
              </w:rPr>
            </w:pPr>
            <w:r>
              <w:rPr>
                <w:color w:val="000000"/>
                <w:sz w:val="20"/>
              </w:rPr>
              <w:t xml:space="preserve">In 2000 we retained two contract-lobbying firms with very different strengths and contacts.  Hedy Govenar, who has strong contacts with the Democratic politics and Republican leadership.   She also has very strong contacts within the administration.   Bev Hanson, a former rural  Republican Assemblymember has strong ties to rural legislators, the Republican leadership in both houses and very importantly, Senator Peace. </w:t>
            </w:r>
          </w:p>
          <w:p>
            <w:pPr>
              <w:pStyle w:val="Normal"/>
              <w:spacing w:lineRule="atLeast" w:line="240"/>
              <w:rPr>
                <w:color w:val="000000"/>
                <w:sz w:val="20"/>
              </w:rPr>
            </w:pPr>
            <w:r>
              <w:rPr>
                <w:color w:val="000000"/>
                <w:sz w:val="20"/>
              </w:rPr>
            </w:r>
          </w:p>
          <w:p>
            <w:pPr>
              <w:pStyle w:val="Normal"/>
              <w:spacing w:lineRule="atLeast" w:line="240"/>
              <w:rPr>
                <w:color w:val="000000"/>
                <w:sz w:val="20"/>
              </w:rPr>
            </w:pPr>
            <w:r>
              <w:rPr>
                <w:color w:val="000000"/>
                <w:sz w:val="20"/>
              </w:rPr>
              <w:t>In 2000, we also retained Mike Day as our outside counsel. Day has consistently responsive on legislative matters and continues to be an asset to the company in his role as outside counsel.  His legal skills remain necessary as no member of the San Francisco office is an attorney.  In 2000, we retained Day by using a fixed retainer of $5,000/month</w:t>
            </w:r>
          </w:p>
          <w:p>
            <w:pPr>
              <w:pStyle w:val="Normal"/>
              <w:rPr>
                <w:rFonts w:eastAsia="Arial"/>
                <w:sz w:val="20"/>
              </w:rPr>
            </w:pPr>
            <w:r>
              <w:rPr>
                <w:rFonts w:eastAsia="Arial"/>
                <w:sz w:val="20"/>
              </w:rPr>
              <w:t xml:space="preserve">  </w:t>
            </w:r>
          </w:p>
        </w:tc>
        <w:tc>
          <w:tcPr>
            <w:tcW w:w="2754" w:type="dxa"/>
            <w:tcBorders>
              <w:top w:val="single" w:sz="4" w:space="0" w:color="000000"/>
              <w:start w:val="single" w:sz="4" w:space="0" w:color="000000"/>
              <w:bottom w:val="single" w:sz="4" w:space="0" w:color="000000"/>
              <w:end w:val="single" w:sz="4" w:space="0" w:color="000000"/>
            </w:tcBorders>
          </w:tcPr>
          <w:p>
            <w:pPr>
              <w:pStyle w:val="Subject"/>
              <w:tabs>
                <w:tab w:val="left" w:pos="540" w:leader="none"/>
              </w:tabs>
              <w:rPr/>
            </w:pPr>
            <w:r>
              <w:rPr/>
              <w:t>Substantial reduction in cost/budget.</w:t>
            </w:r>
          </w:p>
        </w:tc>
      </w:tr>
      <w:tr>
        <w:trPr/>
        <w:tc>
          <w:tcPr>
            <w:tcW w:w="275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Ability of others to represent our interests</w:t>
            </w:r>
          </w:p>
        </w:tc>
        <w:tc>
          <w:tcPr>
            <w:tcW w:w="275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This option gives us the greatest flexibility to pursue Enron only initiatives.  An example of this effort in 2000, was the Williamson Act amendment.  This option does not foreclose working with coalitions, but does not force us to do so.  Thus, we can keep  our distance from IEP on issues that appear to be driven by the generators or against the generators.</w:t>
            </w:r>
          </w:p>
        </w:tc>
        <w:tc>
          <w:tcPr>
            <w:tcW w:w="275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 xml:space="preserve">Incremental reduction in presence and access is difficult to assess at this point.  Question is whether reduction in access and presence is worth the savings of $145,000 - $50,000 (based on 2000 budget).  </w:t>
            </w:r>
          </w:p>
          <w:p>
            <w:pPr>
              <w:pStyle w:val="Normal"/>
              <w:rPr>
                <w:sz w:val="20"/>
              </w:rPr>
            </w:pPr>
            <w:r>
              <w:rPr>
                <w:sz w:val="20"/>
              </w:rPr>
            </w:r>
          </w:p>
          <w:p>
            <w:pPr>
              <w:pStyle w:val="Normal"/>
              <w:rPr>
                <w:sz w:val="20"/>
              </w:rPr>
            </w:pPr>
            <w:r>
              <w:rPr>
                <w:sz w:val="20"/>
              </w:rPr>
            </w:r>
          </w:p>
          <w:p>
            <w:pPr>
              <w:pStyle w:val="Normal"/>
              <w:rPr>
                <w:sz w:val="20"/>
              </w:rPr>
            </w:pPr>
            <w:r>
              <w:rPr>
                <w:sz w:val="20"/>
              </w:rPr>
              <w:t>This option does not foreclose working with coalitions, but does not force us to do so.  Thus, we can keep  our distance from IEP on issues that appear to be driven by the generators or against the generators.  However, this option will likely increase our reliance on coalitions and internal resources on matters that we would otherwise choose to manage ourselves.</w:t>
            </w:r>
          </w:p>
        </w:tc>
        <w:tc>
          <w:tcPr>
            <w:tcW w:w="275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This option forces virtually  complete reliance on existing coalitions and internal resources.  While limited contacts will remain possible, this option could also require registration of San Francisco office personnel and limit flexibility of those persons in approaching legislators both during and after session.  Registration would  prohibit participation in CFEE trip by San Francisco office personnel.</w:t>
            </w:r>
          </w:p>
          <w:p>
            <w:pPr>
              <w:pStyle w:val="Normal"/>
              <w:rPr>
                <w:sz w:val="20"/>
              </w:rPr>
            </w:pPr>
            <w:r>
              <w:rPr>
                <w:sz w:val="20"/>
              </w:rPr>
            </w:r>
          </w:p>
          <w:p>
            <w:pPr>
              <w:pStyle w:val="Normal"/>
              <w:rPr>
                <w:sz w:val="20"/>
              </w:rPr>
            </w:pPr>
            <w:r>
              <w:rPr>
                <w:sz w:val="20"/>
              </w:rPr>
              <w:t xml:space="preserve">This eliminates our flexibility to respond quickly to initiatives with utilities and other stakeholders.  </w:t>
            </w:r>
          </w:p>
        </w:tc>
      </w:tr>
      <w:tr>
        <w:trPr/>
        <w:tc>
          <w:tcPr>
            <w:tcW w:w="275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Value added/created</w:t>
            </w:r>
          </w:p>
        </w:tc>
        <w:tc>
          <w:tcPr>
            <w:tcW w:w="275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While it is always difficult to identify opportunities in advance of a legislative session, this option gives us the capability to identify and pursue legislation that has a direct benefit that is limited to Enron.  Relying on coalitions does not give us this capability.</w:t>
            </w:r>
          </w:p>
        </w:tc>
        <w:tc>
          <w:tcPr>
            <w:tcW w:w="275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Analysis here is similar to that above.  Choice of firms used in 2000 was based on access to each caucus and individual contacts/relationships with legislators and Governor’s office.</w:t>
            </w:r>
          </w:p>
        </w:tc>
        <w:tc>
          <w:tcPr>
            <w:tcW w:w="275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In 2000, this option would have greatly complicated our ability to pursue the Williamson Act amendment.</w:t>
            </w:r>
          </w:p>
        </w:tc>
      </w:tr>
      <w:tr>
        <w:trPr/>
        <w:tc>
          <w:tcPr>
            <w:tcW w:w="275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Long-term effect</w:t>
            </w:r>
          </w:p>
        </w:tc>
        <w:tc>
          <w:tcPr>
            <w:tcW w:w="275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 xml:space="preserve">This option maintains our presence at a relatively low-level of campaign participation.  It keeps us from losing ground, or having to “gear-up” for an increased presence at some point in the future.  </w:t>
            </w:r>
          </w:p>
        </w:tc>
        <w:tc>
          <w:tcPr>
            <w:tcW w:w="275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 xml:space="preserve">Difficult to assess loss of outside resources probably has greater impact than reduction in campaign budget.  However, there will be a ramp up cost if there is a reduction in campaign participation.  </w:t>
            </w:r>
          </w:p>
        </w:tc>
        <w:tc>
          <w:tcPr>
            <w:tcW w:w="275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 xml:space="preserve">This option will increase the cost of participation in California, if over the long-term a decision is made to increase our presence in Sacramento.  </w:t>
            </w:r>
          </w:p>
          <w:p>
            <w:pPr>
              <w:pStyle w:val="Normal"/>
              <w:rPr>
                <w:sz w:val="20"/>
              </w:rPr>
            </w:pPr>
            <w:r>
              <w:rPr>
                <w:sz w:val="20"/>
              </w:rPr>
            </w:r>
          </w:p>
          <w:p>
            <w:pPr>
              <w:pStyle w:val="Normal"/>
              <w:rPr>
                <w:sz w:val="20"/>
              </w:rPr>
            </w:pPr>
            <w:r>
              <w:rPr>
                <w:sz w:val="20"/>
              </w:rPr>
              <w:t xml:space="preserve">Further, it sends a message to legislators that Enron is not committed to the state and confirms the notion that Enron is opportunistic.  </w:t>
            </w:r>
          </w:p>
        </w:tc>
      </w:tr>
    </w:tbl>
    <w:p>
      <w:pPr>
        <w:pStyle w:val="Normal"/>
        <w:spacing w:lineRule="atLeast" w:line="240"/>
        <w:rPr>
          <w:color w:val="000000"/>
          <w:sz w:val="20"/>
        </w:rPr>
      </w:pPr>
      <w:r>
        <w:rPr>
          <w:color w:val="000000"/>
          <w:sz w:val="20"/>
        </w:rPr>
      </w:r>
    </w:p>
    <w:p>
      <w:pPr>
        <w:pStyle w:val="Body"/>
        <w:ind w:start="0" w:end="0"/>
        <w:rPr>
          <w:color w:val="000000"/>
          <w:sz w:val="20"/>
        </w:rPr>
      </w:pPr>
      <w:r>
        <w:rPr>
          <w:color w:val="000000"/>
          <w:sz w:val="20"/>
        </w:rPr>
      </w:r>
    </w:p>
    <w:p>
      <w:pPr>
        <w:pStyle w:val="Normal"/>
        <w:rPr>
          <w:color w:val="000000"/>
          <w:sz w:val="20"/>
        </w:rPr>
      </w:pPr>
      <w:r>
        <w:rPr>
          <w:color w:val="000000"/>
          <w:sz w:val="20"/>
        </w:rPr>
      </w:r>
    </w:p>
    <w:p>
      <w:pPr>
        <w:pStyle w:val="Body"/>
        <w:ind w:start="0" w:end="0"/>
        <w:rPr>
          <w:rFonts w:eastAsia="Arial"/>
          <w:color w:val="auto"/>
        </w:rPr>
      </w:pPr>
      <w:r>
        <w:rPr>
          <w:rFonts w:eastAsia="Arial"/>
          <w:color w:val="auto"/>
        </w:rPr>
        <w:t xml:space="preserve"> </w:t>
      </w:r>
    </w:p>
    <w:sectPr>
      <w:headerReference w:type="default" r:id="rId4"/>
      <w:headerReference w:type="first" r:id="rId5"/>
      <w:footerReference w:type="default" r:id="rId6"/>
      <w:footerReference w:type="first" r:id="rId7"/>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rPr>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Memorandum</w:t>
      <w:tab/>
    </w:r>
    <w:r>
      <w:rPr/>
      <w:fldChar w:fldCharType="begin"/>
    </w:r>
    <w:r>
      <w:rPr/>
      <w:instrText xml:space="preserve"> DATE \@"M/d/yyyy" </w:instrText>
    </w:r>
    <w:r>
      <w:rPr/>
      <w:fldChar w:fldCharType="separate"/>
    </w:r>
    <w:r>
      <w:rPr/>
      <w:t>9/28/2025</w:t>
    </w:r>
    <w:r>
      <w:rPr/>
      <w:fldChar w:fldCharType="end"/>
    </w:r>
    <w:r>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635</wp:posOffset>
              </wp:positionV>
              <wp:extent cx="3877310" cy="1002030"/>
              <wp:effectExtent l="0" t="0" r="0" b="0"/>
              <wp:wrapSquare wrapText="bothSides"/>
              <wp:docPr id="1" name="Frame1"/>
              <a:graphic xmlns:a="http://schemas.openxmlformats.org/drawingml/2006/main">
                <a:graphicData uri="http://schemas.microsoft.com/office/word/2010/wordprocessingShape">
                  <wps:wsp>
                    <wps:cNvSpPr txBox="1"/>
                    <wps:spPr>
                      <a:xfrm>
                        <a:off x="0" y="0"/>
                        <a:ext cx="3877310" cy="1002030"/>
                      </a:xfrm>
                      <a:prstGeom prst="rect"/>
                      <a:solidFill>
                        <a:srgbClr val="FFFFFF">
                          <a:alpha val="0"/>
                        </a:srgbClr>
                      </a:solidFill>
                    </wps:spPr>
                    <wps:txbx>
                      <w:txbxContent>
                        <w:p>
                          <w:pPr>
                            <w:pStyle w:val="Normal"/>
                            <w:ind w:start="3600" w:end="0"/>
                            <w:rPr>
                              <w:b/>
                              <w:sz w:val="32"/>
                            </w:rPr>
                          </w:pPr>
                          <w:r>
                            <w:rPr>
                              <w:b/>
                              <w:sz w:val="32"/>
                            </w:rPr>
                            <w:t>ConfidentialMemorandum</w:t>
                          </w:r>
                        </w:p>
                      </w:txbxContent>
                    </wps:txbx>
                    <wps:bodyPr anchor="t" lIns="0" tIns="0" rIns="0" bIns="0">
                      <a:noAutofit/>
                    </wps:bodyPr>
                  </wps:wsp>
                </a:graphicData>
              </a:graphic>
            </wp:anchor>
          </w:drawing>
        </mc:Choice>
        <mc:Fallback>
          <w:pict>
            <v:rect fillcolor="#FFFFFF" style="position:absolute;rotation:-0;width:305.3pt;height:78.9pt;mso-wrap-distance-left:9.35pt;mso-wrap-distance-right:9.35pt;mso-wrap-distance-top:0pt;mso-wrap-distance-bottom:0pt;margin-top:0.05pt;mso-position-vertical-relative:text;margin-left:201.3pt;mso-position-horizontal-relative:page">
              <v:fill opacity="0f"/>
              <v:textbox inset="0in,0in,0in,0in">
                <w:txbxContent>
                  <w:p>
                    <w:pPr>
                      <w:pStyle w:val="Normal"/>
                      <w:ind w:start="3600" w:end="0"/>
                      <w:rPr>
                        <w:b/>
                        <w:sz w:val="32"/>
                      </w:rPr>
                    </w:pPr>
                    <w:r>
                      <w:rPr>
                        <w:b/>
                        <w:sz w:val="32"/>
                      </w:rPr>
                      <w:t>ConfidentialMemorandum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360"/>
      </w:pPr>
      <w:rPr/>
    </w:lvl>
  </w:abstractNum>
  <w:abstractNum w:abstractNumId="3">
    <w:lvl w:ilvl="0">
      <w:start w:val="1"/>
      <w:numFmt w:val="decimal"/>
      <w:lvlText w:val="(%1)"/>
      <w:lvlJc w:val="start"/>
      <w:pPr>
        <w:tabs>
          <w:tab w:val="num" w:pos="900"/>
        </w:tabs>
        <w:ind w:start="900" w:hanging="360"/>
      </w:pPr>
      <w:rPr/>
    </w:lvl>
  </w:abstractNum>
  <w:abstractNum w:abstractNumId="4">
    <w:lvl w:ilvl="0">
      <w:start w:val="1"/>
      <w:numFmt w:val="decimal"/>
      <w:lvlText w:val="(%1)"/>
      <w:lvlJc w:val="start"/>
      <w:pPr>
        <w:tabs>
          <w:tab w:val="num" w:pos="1080"/>
        </w:tabs>
        <w:ind w:start="108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eastAsia="zh-CN" w:bidi="hi-IN"/>
    </w:rPr>
  </w:style>
  <w:style w:type="paragraph" w:styleId="Heading1">
    <w:name w:val="heading 1"/>
    <w:basedOn w:val="Normal"/>
    <w:next w:val="Normal"/>
    <w:qFormat/>
    <w:pPr>
      <w:keepNext w:val="true"/>
      <w:numPr>
        <w:ilvl w:val="0"/>
        <w:numId w:val="1"/>
      </w:numPr>
      <w:tabs>
        <w:tab w:val="clear" w:pos="540"/>
      </w:tabs>
      <w:outlineLvl w:val="0"/>
    </w:pPr>
    <w:rPr>
      <w:rFonts w:ascii="Times New Roman" w:hAnsi="Times New Roman" w:cs="Times New Roman"/>
      <w:u w:val="single"/>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8">
    <w:name w:val="heading 8"/>
    <w:basedOn w:val="Normal"/>
    <w:next w:val="Normal"/>
    <w:qFormat/>
    <w:pPr>
      <w:keepNext w:val="true"/>
      <w:numPr>
        <w:ilvl w:val="7"/>
        <w:numId w:val="1"/>
      </w:numPr>
      <w:jc w:val="center"/>
      <w:outlineLvl w:val="7"/>
    </w:pPr>
    <w:rPr>
      <w:sz w:val="20"/>
      <w:u w:val="single"/>
    </w:rPr>
  </w:style>
  <w:style w:type="character" w:styleId="WW8Num1z0">
    <w:name w:val="WW8Num1z0"/>
    <w:qFormat/>
    <w:rPr>
      <w:rFonts w:ascii="Symbol" w:hAnsi="Symbol" w:cs="Symbol"/>
    </w:rPr>
  </w:style>
  <w:style w:type="character" w:styleId="WW8Num2z0">
    <w:name w:val="WW8Num2z0"/>
    <w:qFormat/>
    <w:rPr/>
  </w:style>
  <w:style w:type="character" w:styleId="WW8Num4z0">
    <w:name w:val="WW8Num4z0"/>
    <w:qFormat/>
    <w:rPr/>
  </w:style>
  <w:style w:type="character" w:styleId="WW8Num5z0">
    <w:name w:val="WW8Num5z0"/>
    <w:qFormat/>
    <w:rPr/>
  </w:style>
  <w:style w:type="character" w:styleId="WW8Num7z0">
    <w:name w:val="WW8Num7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Template>
  <TotalTime>54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2000-10-10T21:11:00Z</dcterms:created>
  <dc:creator>Jeff Ford</dc:creator>
  <dc:description/>
  <dc:language>en-CA</dc:language>
  <cp:lastModifiedBy>pkaufma</cp:lastModifiedBy>
  <cp:lastPrinted>2000-01-13T09:04:00Z</cp:lastPrinted>
  <dcterms:modified xsi:type="dcterms:W3CDTF">2000-10-10T22:19:00Z</dcterms:modified>
  <cp:revision>3</cp:revision>
  <dc:subject>Comments on Load Forecasting/Data Requirements Proposed Regulations</dc:subject>
  <dc:title>Eron Capital &amp; Trade Resources Memo</dc:title>
</cp:coreProperties>
</file>