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t>MINUTES</w:t>
      </w:r>
    </w:p>
    <w:p>
      <w:pPr>
        <w:pStyle w:val="Normal"/>
        <w:jc w:val="center"/>
        <w:rPr>
          <w:b/>
        </w:rPr>
      </w:pPr>
      <w:r>
        <w:rPr>
          <w:b/>
        </w:rPr>
        <w:t>MEETING OF THE FINANCE COMMITTEE</w:t>
      </w:r>
    </w:p>
    <w:p>
      <w:pPr>
        <w:pStyle w:val="Normal"/>
        <w:jc w:val="center"/>
        <w:rPr>
          <w:b/>
        </w:rPr>
      </w:pPr>
      <w:r>
        <w:rPr>
          <w:b/>
        </w:rPr>
        <w:t>OF THE BOARD OF DIRECTORS</w:t>
      </w:r>
    </w:p>
    <w:p>
      <w:pPr>
        <w:pStyle w:val="Normal"/>
        <w:jc w:val="center"/>
        <w:rPr>
          <w:b/>
        </w:rPr>
      </w:pPr>
      <w:r>
        <w:rPr>
          <w:b/>
        </w:rPr>
        <w:t>ENRON CORP.</w:t>
      </w:r>
    </w:p>
    <w:p>
      <w:pPr>
        <w:pStyle w:val="Heading3"/>
        <w:ind w:hanging="0" w:start="0"/>
        <w:rPr/>
      </w:pPr>
      <w:r>
        <w:rPr/>
        <w:t>OCTOBER 8, 2001</w:t>
      </w:r>
    </w:p>
    <w:p>
      <w:pPr>
        <w:pStyle w:val="Normal"/>
        <w:jc w:val="center"/>
        <w:rPr/>
      </w:pPr>
      <w:r>
        <w:rPr/>
      </w:r>
    </w:p>
    <w:p>
      <w:pPr>
        <w:pStyle w:val="Normal"/>
        <w:jc w:val="both"/>
        <w:rPr/>
      </w:pPr>
      <w:r>
        <w:rPr/>
      </w:r>
    </w:p>
    <w:p>
      <w:pPr>
        <w:pStyle w:val="Normal"/>
        <w:jc w:val="both"/>
        <w:rPr/>
      </w:pPr>
      <w:r>
        <w:rPr/>
        <w:tab/>
        <w:t xml:space="preserve">Minutes of a meeting of the Finance Committee (“Committee”) of the Board of Directors of Enron Corp. (“Company”), held pursuant to due notice at 4:30 p.m., C.D.T., at the Enron Building in Houston, Texas.  </w:t>
      </w:r>
    </w:p>
    <w:p>
      <w:pPr>
        <w:pStyle w:val="Normal"/>
        <w:jc w:val="both"/>
        <w:rPr/>
      </w:pPr>
      <w:r>
        <w:rPr/>
      </w:r>
    </w:p>
    <w:p>
      <w:pPr>
        <w:pStyle w:val="Normal"/>
        <w:ind w:firstLine="720" w:end="0"/>
        <w:jc w:val="both"/>
        <w:rPr/>
      </w:pPr>
      <w:r>
        <w:rPr/>
        <w:t>All of the Committee members were present as follows:</w:t>
      </w:r>
    </w:p>
    <w:p>
      <w:pPr>
        <w:pStyle w:val="Normal"/>
        <w:ind w:firstLine="720" w:end="0"/>
        <w:jc w:val="both"/>
        <w:rPr/>
      </w:pPr>
      <w:r>
        <w:rPr/>
      </w:r>
    </w:p>
    <w:p>
      <w:pPr>
        <w:pStyle w:val="Normal"/>
        <w:jc w:val="both"/>
        <w:rPr/>
      </w:pPr>
      <w:r>
        <w:rPr/>
        <w:tab/>
        <w:tab/>
        <w:t>Mr. Herbert S. Winokur, Jr., Chairman</w:t>
      </w:r>
    </w:p>
    <w:p>
      <w:pPr>
        <w:pStyle w:val="Normal"/>
        <w:ind w:firstLine="720" w:start="720" w:end="0"/>
        <w:jc w:val="both"/>
        <w:rPr/>
      </w:pPr>
      <w:r>
        <w:rPr/>
        <w:t>Mr. Robert A. Belfer</w:t>
      </w:r>
    </w:p>
    <w:p>
      <w:pPr>
        <w:pStyle w:val="Normal"/>
        <w:ind w:firstLine="720" w:start="720" w:end="0"/>
        <w:jc w:val="both"/>
        <w:rPr/>
      </w:pPr>
      <w:r>
        <w:rPr/>
        <w:t>Mr. Norman P. Blake, Jr.</w:t>
      </w:r>
    </w:p>
    <w:p>
      <w:pPr>
        <w:pStyle w:val="Normal"/>
        <w:jc w:val="both"/>
        <w:rPr/>
      </w:pPr>
      <w:r>
        <w:rPr/>
        <w:tab/>
        <w:tab/>
        <w:t>Mr. Ronnie C. Chan</w:t>
      </w:r>
    </w:p>
    <w:p>
      <w:pPr>
        <w:pStyle w:val="Normal"/>
        <w:jc w:val="both"/>
        <w:rPr/>
      </w:pPr>
      <w:r>
        <w:rPr/>
        <w:tab/>
        <w:tab/>
        <w:t>Mr. Paulo V. Ferraz Pereira</w:t>
      </w:r>
    </w:p>
    <w:p>
      <w:pPr>
        <w:pStyle w:val="Normal"/>
        <w:jc w:val="both"/>
        <w:rPr/>
      </w:pPr>
      <w:r>
        <w:rPr/>
        <w:tab/>
        <w:tab/>
        <w:t>Mr. Frank Savage</w:t>
      </w:r>
    </w:p>
    <w:p>
      <w:pPr>
        <w:pStyle w:val="Normal"/>
        <w:jc w:val="both"/>
        <w:rPr/>
      </w:pPr>
      <w:r>
        <w:rPr/>
      </w:r>
    </w:p>
    <w:p>
      <w:pPr>
        <w:pStyle w:val="BodyTextIndent2"/>
        <w:rPr>
          <w:b w:val="false"/>
          <w:bCs w:val="false"/>
        </w:rPr>
      </w:pPr>
      <w:r>
        <w:rPr>
          <w:b w:val="false"/>
          <w:bCs w:val="false"/>
        </w:rPr>
        <w:t xml:space="preserve">Directors John H. Duncan, Kenneth L. Lay, and Charles A. LeMaistre, Messrs. William S. Bradford, Richard B. Buy, Richard A. Causey, Timothy A. DeSpain, Andrew S. Fastow, Mark A. Frevert, Ben L. Glisan, David B. Gorte, Mark E. Koenig, David R. Port, and L. Greg Whalley, and Ms. Paula H. Rieker, all of the Company or affiliates thereof, also attended the meeting. Mr. Richard N. Foster, of McKinsey &amp; Company, Inc., joined the meeting in progress as noted below. </w:t>
      </w:r>
    </w:p>
    <w:p>
      <w:pPr>
        <w:pStyle w:val="Normal"/>
        <w:jc w:val="both"/>
        <w:rPr>
          <w:b/>
          <w:bCs/>
        </w:rPr>
      </w:pPr>
      <w:r>
        <w:rPr>
          <w:b/>
          <w:bCs/>
        </w:rPr>
      </w:r>
    </w:p>
    <w:p>
      <w:pPr>
        <w:pStyle w:val="Normal"/>
        <w:jc w:val="both"/>
        <w:rPr/>
      </w:pPr>
      <w:r>
        <w:rPr/>
        <w:tab/>
        <w:t>The Chairman, Mr. Winokur, presided at the meeting, and the Secretary, Ms. Rieker, recorded the proceedings.</w:t>
      </w:r>
    </w:p>
    <w:p>
      <w:pPr>
        <w:pStyle w:val="Normal"/>
        <w:jc w:val="both"/>
        <w:rPr/>
      </w:pPr>
      <w:r>
        <w:rPr/>
        <w:t xml:space="preserve"> </w:t>
      </w:r>
    </w:p>
    <w:p>
      <w:pPr>
        <w:pStyle w:val="Normal"/>
        <w:jc w:val="both"/>
        <w:rPr/>
      </w:pPr>
      <w:r>
        <w:rPr/>
        <w:tab/>
        <w:t>Mr. Winokur called the meeting to order, noted that a draft of the minutes of the meeting of the Committee held on August 13, 2001 had been distributed to the Committee members, and called for any corrections or additions.  There being none, upon motion duly made by Mr. Blake, seconded by Mr. Chan, and carried, the minutes of the meeting of the Committee held on August 13, 2001 were approved as distributed.</w:t>
      </w:r>
    </w:p>
    <w:p>
      <w:pPr>
        <w:pStyle w:val="Normal"/>
        <w:jc w:val="both"/>
        <w:rPr/>
      </w:pPr>
      <w:r>
        <w:rPr/>
      </w:r>
    </w:p>
    <w:p>
      <w:pPr>
        <w:pStyle w:val="Normal"/>
        <w:jc w:val="both"/>
        <w:rPr/>
      </w:pPr>
      <w:r>
        <w:rPr/>
        <w:tab/>
        <w:t>Mr. Foster joined the meeting.</w:t>
      </w:r>
    </w:p>
    <w:p>
      <w:pPr>
        <w:pStyle w:val="Normal"/>
        <w:jc w:val="both"/>
        <w:rPr/>
      </w:pPr>
      <w:r>
        <w:rPr/>
      </w:r>
    </w:p>
    <w:p>
      <w:pPr>
        <w:pStyle w:val="Normal"/>
        <w:ind w:firstLine="720" w:end="0"/>
        <w:jc w:val="both"/>
        <w:rPr/>
      </w:pPr>
      <w:r>
        <w:rPr/>
        <w:t>Mr. Winokur called upon Mr. Fastow to present the Chief Financial Officer’s report, a copy of which is filed with the records of the meeting.  Mr. Fastow summarized recent activity for total return swaps and stock repurchases and reviewed the Company’s total interest rate exposure, including the mix between fixed and floating interest rates.  He then reviewed the financial liquidity of the Company, noting that the liquidity risk ratio of the Company as of September 26, 2001, was significantly above the minimum ratio required by the Board and that the ratio had decreased since that date but still remained well above Board limits.  He indicated that the ratio still resulted in adequate liquidity coverage when tested for very negative market events.   Mr. Winokur emphasized the importance of adequate liquidity and suggested continued analysis and scenario testing.  Mr. Fastow then discussed other asset monetizations, including certain transactions with similar characteristics to debt financing, and noted the importance of maintaining valuations for the assets at least equal to the monetization values.  He also summarized the asset divestiture plan of the Company, which, upon completion at the end of 2002, was expected to yield $4.7 billion of debt reduction and to have a minimal impact on the earnings of the Company.</w:t>
      </w:r>
    </w:p>
    <w:p>
      <w:pPr>
        <w:pStyle w:val="Normal"/>
        <w:ind w:firstLine="720" w:end="0"/>
        <w:jc w:val="both"/>
        <w:rPr/>
      </w:pPr>
      <w:r>
        <w:rPr/>
      </w:r>
    </w:p>
    <w:p>
      <w:pPr>
        <w:pStyle w:val="Normal"/>
        <w:ind w:firstLine="720" w:end="0"/>
        <w:jc w:val="both"/>
        <w:rPr/>
      </w:pPr>
      <w:r>
        <w:rPr/>
        <w:t>Mr. Winokur called upon Mr. Glisan to report on certain restructuring initiatives.  Mr. Glisan provided an update on the Dabhol power plant in India. A discussion ensued regarding the status of the resolution of disputes related to the plant. He also described the economics of a structure named Raptor and reported on the recent termination of Raptor and associated financial impacts to the Company, including a $1,000,000,000 reduction to shareholder equity and an approximate $800,000,000 reduction to expected third quarter 2001 earnings. He attributed the earnings reduction to a lack of credit capacity of Raptor to absorb losses associated with the Company’s investment in The New Power Company.  He also provided an update on the Whitewing structure, indicating that the structure included $2.4 billion of assets and that bonds related to the structure would require funding in September of 2002.  He then commented on the structure related to the Company’s ownership of Azurix Corp.</w:t>
      </w:r>
    </w:p>
    <w:p>
      <w:pPr>
        <w:pStyle w:val="Normal"/>
        <w:ind w:firstLine="720" w:end="0"/>
        <w:jc w:val="both"/>
        <w:rPr/>
      </w:pPr>
      <w:r>
        <w:rPr/>
      </w:r>
    </w:p>
    <w:p>
      <w:pPr>
        <w:pStyle w:val="Normal"/>
        <w:ind w:firstLine="720" w:end="0"/>
        <w:jc w:val="both"/>
        <w:rPr/>
      </w:pPr>
      <w:r>
        <w:rPr/>
        <w:t xml:space="preserve">Mr. Winokur called upon Mr. Glisan to present the Treasurer Report, a copy of which is filed with the records of the meeting.  Mr. Glisan reviewed the Company’s active letters of credit and discussed the increased levels since year-end.  He presented the Company’s guarantee portfolio as of August 31, 2001 and noted an increase in the total guarantees since year-end.  He then presented the liquidity forecast, commenting on the sources and uses of funds expected by year-end, the Company’s funding activity following the terrorist events on September 11, 2001, financings expected during the remainder of the year, and the generally difficult environment in the capital markets.   He presented the Company’s key financial ratios, noting that the Company was on target to meet the year-end goals.  He then discussed the Company’s ratings by the rating agencies, commenting on the stable outlook for the Company at each of the agencies.  He further commented that a negative watch was the likely worst ratings outcome for the Company if general economic funds deteriorated further.  He provided an update on the cash impact of the Company’s working capital, investing activities, and asset sales initiatives.  He reviewed the overall cost of capital to the Company and provided an update on current costs of new financings for Enron and other peer energy companies.  Mr. Winokur emphasized the importance of diligently executing straightforward financings in the marketplace.  </w:t>
      </w:r>
    </w:p>
    <w:p>
      <w:pPr>
        <w:pStyle w:val="Normal"/>
        <w:ind w:firstLine="720" w:end="0"/>
        <w:jc w:val="both"/>
        <w:rPr/>
      </w:pPr>
      <w:r>
        <w:rPr/>
      </w:r>
    </w:p>
    <w:p>
      <w:pPr>
        <w:pStyle w:val="Normal"/>
        <w:ind w:firstLine="720" w:end="0"/>
        <w:jc w:val="both"/>
        <w:rPr/>
      </w:pPr>
      <w:r>
        <w:rPr/>
        <w:t xml:space="preserve">Messrs. Frevert, LeMaistre, Savage, and Whalley left the meeting. </w:t>
      </w:r>
    </w:p>
    <w:p>
      <w:pPr>
        <w:pStyle w:val="Normal"/>
        <w:ind w:firstLine="720" w:end="0"/>
        <w:jc w:val="both"/>
        <w:rPr/>
      </w:pPr>
      <w:r>
        <w:rPr/>
      </w:r>
    </w:p>
    <w:p>
      <w:pPr>
        <w:pStyle w:val="BodyTextIndent"/>
        <w:rPr/>
      </w:pPr>
      <w:r>
        <w:rPr/>
        <w:t xml:space="preserve">Mr. Winokur called upon Mr. Buy to present the Chief Risk Officer’s report, a copy of which is filed with the records of the meeting.  Mr. Buy reviewed the respective roles of the Audit and Compliance Committee and the Finance Committee in monitoring the Risk Management Policy (“Policy”) of the Company and in reviewing transactions previously approved.  He reported on the implementation of the new Policy and related reporting.  He also provided an update on the trade credit portfolio of the Company, noting that there were no significant changes from the prior report dated June 30, 2001.  He indicated that the level of credit exposure related to the Company’s largest counterparty continued as an area of concern.  He then reported on the collateral activity of the Company, indicating that the level of collateral provided to counterparties had reduced from prior levels due to lower commodity prices and that collateral activity in the third quarter had resulted in net cash inflows to the Company.  </w:t>
      </w:r>
    </w:p>
    <w:p>
      <w:pPr>
        <w:pStyle w:val="BodyTextIndent"/>
        <w:rPr/>
      </w:pPr>
      <w:r>
        <w:rPr/>
      </w:r>
    </w:p>
    <w:p>
      <w:pPr>
        <w:pStyle w:val="Normal"/>
        <w:ind w:firstLine="720" w:end="0"/>
        <w:jc w:val="both"/>
        <w:rPr/>
      </w:pPr>
      <w:r>
        <w:rPr/>
        <w:t>Mr. Savage joined the meeting.</w:t>
      </w:r>
    </w:p>
    <w:p>
      <w:pPr>
        <w:pStyle w:val="Normal"/>
        <w:ind w:firstLine="720" w:end="0"/>
        <w:jc w:val="both"/>
        <w:rPr/>
      </w:pPr>
      <w:r>
        <w:rPr/>
      </w:r>
    </w:p>
    <w:p>
      <w:pPr>
        <w:pStyle w:val="BodyTextIndent"/>
        <w:rPr/>
      </w:pPr>
      <w:r>
        <w:rPr/>
        <w:t xml:space="preserve">Mr. Koenig indicated that the deposits had recently become the single largest item in the Company’s cash flow statement and that investors expected the Company to achieve strong cash flow from operations, excluding the deposit activity.  Mr. Buy then commented on receivables owed to the Company by Pacific Gas &amp; Electric and on the expected impact to the Company’s retail credit portfolio of recent economic trends.   </w:t>
      </w:r>
    </w:p>
    <w:p>
      <w:pPr>
        <w:pStyle w:val="BodyTextIndent"/>
        <w:rPr/>
      </w:pPr>
      <w:r>
        <w:rPr/>
      </w:r>
    </w:p>
    <w:p>
      <w:pPr>
        <w:pStyle w:val="BodyTextIndent"/>
        <w:rPr/>
      </w:pPr>
      <w:r>
        <w:rPr/>
        <w:t xml:space="preserve">Mr. Winokur called upon Mr. Buy to review the Market Risk Update for the Company, a copy of which is filed with the records of the meeting.  He reported on the Company’s potential capital expenditures relating to transactions currently under review, indicating total potential outflows of cash of approximately $2.5 billion and a probability adjusted level of $877 million of outflows.  He reported that these potential outflows should be significantly offset by cash inflows, resulting in $1.5 billion of net outflows and $350 million of outflows on a probability adjusted basis.  Mr. Winokur requested a routine update to the information, sorted by the level of risk associated with the proposed expenditures.  Mr. Buy then reviewed a risk profile report, indicating that the report format followed the Policy framework and reflected the Company’s risk management approach.  He reviewed summaries of profit and loss and average Value-at-Risk (“VAR”) of the Company’s wholesale businesses by both market concentration and major business units.  He discussed returns on average VAR by commodity group by both market concentration and major business units.  A discussion ensued on the returns experienced by different units, reasonable return expectations in the current environment, and management’s assessment of certain business units.  Mr. Buy also reviewed the backtesting performed on the aggregate VAR of the Company, a quarterly comparison of the utilization of the VAR limits, and analyses of various scenarios and related potential losses, which fell within acceptable ranges.  </w:t>
      </w:r>
    </w:p>
    <w:p>
      <w:pPr>
        <w:pStyle w:val="BodyTextIndent"/>
        <w:rPr/>
      </w:pPr>
      <w:r>
        <w:rPr/>
      </w:r>
    </w:p>
    <w:p>
      <w:pPr>
        <w:pStyle w:val="BodyTextIndent"/>
        <w:rPr/>
      </w:pPr>
      <w:r>
        <w:rPr/>
        <w:t xml:space="preserve">A discussion ensued regarding certain new markets entered by the Company and the respective competitive advantages of the Company and acceptable risk management approaches in the new markets.  </w:t>
      </w:r>
    </w:p>
    <w:p>
      <w:pPr>
        <w:pStyle w:val="BodyTextIndent"/>
        <w:rPr/>
      </w:pPr>
      <w:r>
        <w:rPr/>
      </w:r>
    </w:p>
    <w:p>
      <w:pPr>
        <w:pStyle w:val="BodyTextIndent"/>
        <w:rPr/>
      </w:pPr>
      <w:r>
        <w:rPr/>
        <w:t xml:space="preserve">Mr. Buy then reviewed a liquidity risk ratio analysis, indicating it represented the amount of cash available or committed to the Company relative to the future cash requirements of the Company’s trading portfolio.  He also discussed the Company’s foreign exchange exposure related to Brazilian currency, citing an increase in the cumulative translation adjustment balances of the Company.  He then reviewed implementation of procedures to perform on-going reviews of transactions.  He also recommended amendments to the Policy, noting that no changes to the aggregate VAR limits were being requested.  Following a discussion, upon motion duly made by Mr. Blake, seconded by Mr. Ferraz Pereira, and carried, the proposed amendments to the Policy were approved for recommendation to the Board.  </w:t>
      </w:r>
    </w:p>
    <w:p>
      <w:pPr>
        <w:pStyle w:val="BodyTextIndent"/>
        <w:rPr/>
      </w:pPr>
      <w:r>
        <w:rPr/>
      </w:r>
    </w:p>
    <w:p>
      <w:pPr>
        <w:pStyle w:val="BodyTextIndent"/>
        <w:rPr/>
      </w:pPr>
      <w:r>
        <w:rPr/>
        <w:t xml:space="preserve">Following a discussion, upon motion duly made by Mr. Belfer, seconded by Mr. Duncan, and carried, the Committee approved to defer the discussion of Project Southwood to the Board meeting. </w:t>
      </w:r>
    </w:p>
    <w:p>
      <w:pPr>
        <w:pStyle w:val="BodyTextIndent"/>
        <w:rPr/>
      </w:pPr>
      <w:r>
        <w:rPr/>
      </w:r>
    </w:p>
    <w:p>
      <w:pPr>
        <w:pStyle w:val="Normal"/>
        <w:jc w:val="both"/>
        <w:rPr/>
      </w:pPr>
      <w:r>
        <w:rPr/>
        <w:tab/>
        <w:t>There being no further business to come before the Committee, the meeting was adjourned at 6:20 p.m. C.D.T.</w:t>
      </w:r>
    </w:p>
    <w:p>
      <w:pPr>
        <w:pStyle w:val="Normal"/>
        <w:spacing w:before="240" w:after="0"/>
        <w:ind w:firstLine="720" w:end="0"/>
        <w:jc w:val="both"/>
        <w:rPr/>
      </w:pPr>
      <w:r>
        <w:rPr/>
        <w:tab/>
        <w:tab/>
        <w:tab/>
        <w:tab/>
        <w:tab/>
        <w:t>________________________________</w:t>
        <w:tab/>
        <w:tab/>
        <w:tab/>
        <w:tab/>
        <w:tab/>
        <w:tab/>
        <w:tab/>
        <w:t>Secretary</w:t>
      </w:r>
    </w:p>
    <w:p>
      <w:pPr>
        <w:pStyle w:val="Normal"/>
        <w:spacing w:before="240" w:after="0"/>
        <w:jc w:val="both"/>
        <w:rPr/>
      </w:pPr>
      <w:r>
        <w:rPr/>
        <w:t>APPROVED:</w:t>
      </w:r>
    </w:p>
    <w:p>
      <w:pPr>
        <w:pStyle w:val="Normal"/>
        <w:spacing w:before="240" w:after="0"/>
        <w:jc w:val="both"/>
        <w:rPr/>
      </w:pPr>
      <w:r>
        <w:rPr/>
      </w:r>
    </w:p>
    <w:p>
      <w:pPr>
        <w:pStyle w:val="Normal"/>
        <w:spacing w:before="240" w:after="0"/>
        <w:jc w:val="both"/>
        <w:rPr/>
      </w:pPr>
      <w:r>
        <w:rPr/>
        <w:t>___________________________</w:t>
      </w:r>
    </w:p>
    <w:p>
      <w:pPr>
        <w:pStyle w:val="Heading1"/>
        <w:ind w:hanging="0" w:start="0"/>
        <w:rPr>
          <w:sz w:val="26"/>
        </w:rPr>
      </w:pPr>
      <w:r>
        <w:rPr>
          <w:sz w:val="26"/>
        </w:rPr>
        <w:t>Chairman</w:t>
      </w:r>
    </w:p>
    <w:p>
      <w:pPr>
        <w:pStyle w:val="Normal"/>
        <w:rPr>
          <w:sz w:val="18"/>
        </w:rPr>
      </w:pPr>
      <w:r>
        <w:rPr>
          <w:sz w:val="18"/>
        </w:rPr>
        <w:fldChar w:fldCharType="begin"/>
      </w:r>
      <w:r>
        <w:rPr>
          <w:sz w:val="18"/>
        </w:rPr>
        <w:instrText xml:space="preserve"> FILENAME \p </w:instrText>
      </w:r>
      <w:r>
        <w:rPr>
          <w:sz w:val="18"/>
        </w:rPr>
        <w:fldChar w:fldCharType="separate"/>
      </w:r>
      <w:r>
        <w:rPr>
          <w:sz w:val="18"/>
        </w:rPr>
        <w:t>/mnt/main-storage/datasets/enron-docs/doc/100801f.doc</w:t>
      </w:r>
      <w:r>
        <w:rPr>
          <w:sz w:val="18"/>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jc w:val="both"/>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2001-10-15T16:44:00Z</dcterms:created>
  <dc:creator>kjohnso</dc:creator>
  <dc:description/>
  <dc:language>en-CA</dc:language>
  <cp:lastModifiedBy>kjohnso</cp:lastModifiedBy>
  <cp:lastPrinted>2001-11-08T05:43:00Z</cp:lastPrinted>
  <dcterms:modified xsi:type="dcterms:W3CDTF">2001-11-09T17:09:00Z</dcterms:modified>
  <cp:revision>18</cp:revision>
  <dc:subject/>
  <dc:title>MINUTES</dc:title>
</cp:coreProperties>
</file>