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4"/>
        </w:rPr>
        <w:t>Date:</w:t>
        <w:tab/>
      </w:r>
      <w:r>
        <w:rPr>
          <w:sz w:val="24"/>
        </w:rPr>
        <w:tab/>
        <w:t>10 August 2000</w:t>
      </w:r>
    </w:p>
    <w:p>
      <w:pPr>
        <w:pStyle w:val="Normal"/>
        <w:rPr>
          <w:b/>
          <w:sz w:val="24"/>
        </w:rPr>
      </w:pPr>
      <w:r>
        <w:rPr>
          <w:b/>
          <w:sz w:val="24"/>
        </w:rPr>
      </w:r>
    </w:p>
    <w:p>
      <w:pPr>
        <w:pStyle w:val="Normal"/>
        <w:rPr/>
      </w:pPr>
      <w:r>
        <w:rPr>
          <w:b/>
          <w:sz w:val="24"/>
        </w:rPr>
        <w:t>To:</w:t>
        <w:tab/>
        <w:tab/>
      </w:r>
      <w:r>
        <w:rPr>
          <w:sz w:val="24"/>
        </w:rPr>
        <w:t>Distribution</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Heading1"/>
        <w:ind w:hanging="0" w:start="0"/>
        <w:jc w:val="both"/>
        <w:rPr>
          <w:rFonts w:ascii="Times New Roman" w:hAnsi="Times New Roman" w:cs="Times New Roman"/>
          <w:sz w:val="24"/>
        </w:rPr>
      </w:pPr>
      <w:r>
        <w:rPr>
          <w:rFonts w:cs="Times New Roman" w:ascii="Times New Roman" w:hAnsi="Times New Roman"/>
          <w:sz w:val="24"/>
        </w:rPr>
        <w:t>UK ENERGY</w:t>
      </w:r>
    </w:p>
    <w:p>
      <w:pPr>
        <w:pStyle w:val="Normal"/>
        <w:numPr>
          <w:ilvl w:val="0"/>
          <w:numId w:val="3"/>
        </w:numPr>
        <w:spacing w:lineRule="atLeast" w:line="240"/>
        <w:jc w:val="both"/>
        <w:rPr>
          <w:color w:val="000000"/>
          <w:sz w:val="24"/>
          <w:lang w:val="en-AU" w:eastAsia="en-US"/>
        </w:rPr>
      </w:pPr>
      <w:r>
        <w:rPr>
          <w:color w:val="000000"/>
          <w:sz w:val="24"/>
          <w:lang w:val="en-AU" w:eastAsia="en-US"/>
        </w:rPr>
        <w:t>Produced a latest set of estimates for the outcome of Transco's price control, due to be reset in April 2002.</w:t>
      </w:r>
    </w:p>
    <w:p>
      <w:pPr>
        <w:pStyle w:val="Heading3"/>
        <w:ind w:hanging="0" w:start="0"/>
        <w:jc w:val="both"/>
        <w:rPr>
          <w:color w:val="000000"/>
          <w:sz w:val="24"/>
          <w:lang w:val="en-AU" w:eastAsia="en-US"/>
        </w:rPr>
      </w:pPr>
      <w:r>
        <w:rPr>
          <w:color w:val="000000"/>
          <w:sz w:val="24"/>
          <w:lang w:val="en-AU" w:eastAsia="en-US"/>
        </w:rPr>
      </w:r>
    </w:p>
    <w:p>
      <w:pPr>
        <w:pStyle w:val="Heading4"/>
        <w:ind w:hanging="0" w:start="0"/>
        <w:rPr/>
      </w:pPr>
      <w:r>
        <w:rPr/>
        <w:t>EU</w:t>
      </w:r>
    </w:p>
    <w:p>
      <w:pPr>
        <w:pStyle w:val="Normal"/>
        <w:numPr>
          <w:ilvl w:val="0"/>
          <w:numId w:val="3"/>
        </w:numPr>
        <w:spacing w:lineRule="atLeast" w:line="240"/>
        <w:jc w:val="both"/>
        <w:rPr>
          <w:color w:val="000000"/>
          <w:sz w:val="24"/>
          <w:lang w:val="en-AU" w:eastAsia="en-US"/>
        </w:rPr>
      </w:pPr>
      <w:r>
        <w:rPr>
          <w:color w:val="000000"/>
          <w:sz w:val="24"/>
          <w:lang w:val="en-AU" w:eastAsia="en-US"/>
        </w:rPr>
        <w:t xml:space="preserve">EFET gas group met - continuing to focus on Germany (position paper on VV gas written and to be issued).  EFET continuing to press for a set at the VV gas 2 negotiating table.  Also, they decided to do some work on Belgium. </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3"/>
        </w:numPr>
        <w:spacing w:lineRule="atLeast" w:line="240"/>
        <w:jc w:val="both"/>
        <w:rPr>
          <w:color w:val="000000"/>
          <w:sz w:val="24"/>
          <w:lang w:val="en-AU" w:eastAsia="en-US"/>
        </w:rPr>
      </w:pPr>
      <w:r>
        <w:rPr>
          <w:color w:val="000000"/>
          <w:sz w:val="24"/>
          <w:lang w:val="en-AU" w:eastAsia="en-US"/>
        </w:rPr>
        <w:t xml:space="preserve">Preparation for the acceleration of gas and electricity liberalization continues.  </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3"/>
        </w:numPr>
        <w:spacing w:lineRule="atLeast" w:line="240"/>
        <w:jc w:val="both"/>
        <w:rPr>
          <w:color w:val="000000"/>
          <w:sz w:val="24"/>
          <w:lang w:val="en-AU" w:eastAsia="en-US"/>
        </w:rPr>
      </w:pPr>
      <w:r>
        <w:rPr>
          <w:color w:val="000000"/>
          <w:sz w:val="24"/>
          <w:lang w:val="en-AU" w:eastAsia="en-US"/>
        </w:rPr>
        <w:t xml:space="preserve">Cross-border power transmission tariffs: Following the Enron letter to Dominique Ristori (Director in DG TREN of the Commission), objecting to any re-instatement by Germany or France of a proposal for export transaction based tariffs from October this year, we have sent similar letters to regulators and/ or government officials in the UK, France, Germany, Denmark, Italy, Spain, the Netherlands and Portugal. EFET has also sent a letter to DG TREN and issued a related press release, stating similar objections. </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4"/>
        </w:numPr>
        <w:spacing w:lineRule="atLeast" w:line="240"/>
        <w:jc w:val="both"/>
        <w:rPr>
          <w:color w:val="000000"/>
          <w:sz w:val="24"/>
          <w:lang w:val="en-AU" w:eastAsia="en-US"/>
        </w:rPr>
      </w:pPr>
      <w:r>
        <w:rPr>
          <w:color w:val="000000"/>
          <w:sz w:val="24"/>
          <w:lang w:val="en-AU" w:eastAsia="en-US"/>
        </w:rPr>
        <w:t>Acceleration of liberalisation: The Commission has invited both Enron Europe individually and EFET to its Public Hearing in Brussels on 14 September. This Hearing is to air the measures which might be incorporated in the Commission's planned amendments to the electricity and gas directives. (According to Council resolutions, such amendments should be designed to bring forward complete market opening, deepen regulated access and formalise internal energy market rules.)</w:t>
      </w:r>
    </w:p>
    <w:p>
      <w:pPr>
        <w:pStyle w:val="Normal"/>
        <w:spacing w:lineRule="atLeast" w:line="240"/>
        <w:jc w:val="both"/>
        <w:rPr>
          <w:color w:val="000000"/>
          <w:sz w:val="24"/>
          <w:lang w:val="en-AU" w:eastAsia="en-US"/>
        </w:rPr>
      </w:pPr>
      <w:r>
        <w:rPr>
          <w:color w:val="000000"/>
          <w:sz w:val="24"/>
          <w:lang w:val="en-AU" w:eastAsia="en-US"/>
        </w:rPr>
      </w:r>
    </w:p>
    <w:p>
      <w:pPr>
        <w:pStyle w:val="Heading3"/>
        <w:ind w:hanging="0" w:start="0"/>
        <w:jc w:val="both"/>
        <w:rPr/>
      </w:pPr>
      <w:r>
        <w:rPr/>
        <w:t xml:space="preserve">Germany </w:t>
      </w:r>
    </w:p>
    <w:p>
      <w:pPr>
        <w:pStyle w:val="Normal"/>
        <w:numPr>
          <w:ilvl w:val="0"/>
          <w:numId w:val="2"/>
        </w:numPr>
        <w:spacing w:lineRule="atLeast" w:line="240"/>
        <w:jc w:val="both"/>
        <w:rPr>
          <w:color w:val="000000"/>
          <w:sz w:val="24"/>
          <w:lang w:val="en-AU" w:eastAsia="en-US"/>
        </w:rPr>
      </w:pPr>
      <w:r>
        <w:rPr>
          <w:color w:val="000000"/>
          <w:sz w:val="24"/>
          <w:lang w:val="en-AU" w:eastAsia="en-US"/>
        </w:rPr>
        <w:t>We have formally lodged a complaint with the Bundeskartellamt against their approval of the RWE and VEW merger. We now have 4 weeks to justify our position and initiate the appeal process with the State Supreme Court in Duesseldorf.</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2"/>
        </w:numPr>
        <w:spacing w:lineRule="atLeast" w:line="240"/>
        <w:jc w:val="both"/>
        <w:rPr>
          <w:color w:val="000000"/>
          <w:sz w:val="24"/>
          <w:lang w:val="en-AU" w:eastAsia="en-US"/>
        </w:rPr>
      </w:pPr>
      <w:r>
        <w:rPr>
          <w:color w:val="000000"/>
          <w:sz w:val="24"/>
          <w:lang w:val="en-AU" w:eastAsia="en-US"/>
        </w:rPr>
        <w:t>We are now heavily involved in the Bundeskartellmat's gas access case against the gas companies.  A public hearing is planned for the17th of August and the Bkart intends to issue a final decision on the matter by the end of August/beginning of September.</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2"/>
        </w:numPr>
        <w:spacing w:lineRule="atLeast" w:line="240"/>
        <w:jc w:val="both"/>
        <w:rPr>
          <w:color w:val="000000"/>
          <w:sz w:val="24"/>
          <w:lang w:val="en-AU" w:eastAsia="en-US"/>
        </w:rPr>
      </w:pPr>
      <w:r>
        <w:rPr>
          <w:color w:val="000000"/>
          <w:sz w:val="24"/>
          <w:lang w:val="en-AU" w:eastAsia="en-US"/>
        </w:rPr>
        <w:t>VEAG - the east Germany utility - has lost four cases against it lodged by various newcomers to the German market for Veag's refusal to permit access to their network. The validity of the lignite protection clause as a means of denying network access is now in question. All the cases are being appealed.</w:t>
      </w:r>
    </w:p>
    <w:p>
      <w:pPr>
        <w:pStyle w:val="Normal"/>
        <w:spacing w:lineRule="atLeast" w:line="240"/>
        <w:jc w:val="both"/>
        <w:rPr>
          <w:color w:val="000000"/>
          <w:sz w:val="24"/>
          <w:lang w:val="en-AU" w:eastAsia="en-US"/>
        </w:rPr>
      </w:pPr>
      <w:r>
        <w:rPr>
          <w:color w:val="000000"/>
          <w:sz w:val="24"/>
          <w:lang w:val="en-AU" w:eastAsia="en-US"/>
        </w:rPr>
      </w:r>
    </w:p>
    <w:p>
      <w:pPr>
        <w:pStyle w:val="Heading4"/>
        <w:ind w:hanging="0" w:start="0"/>
        <w:rPr/>
      </w:pPr>
      <w:r>
        <w:rPr/>
        <w:t>Ireland</w:t>
      </w:r>
    </w:p>
    <w:p>
      <w:pPr>
        <w:pStyle w:val="Normal"/>
        <w:numPr>
          <w:ilvl w:val="0"/>
          <w:numId w:val="3"/>
        </w:numPr>
        <w:spacing w:lineRule="atLeast" w:line="240"/>
        <w:jc w:val="both"/>
        <w:rPr>
          <w:color w:val="000000"/>
          <w:sz w:val="24"/>
          <w:lang w:val="en-AU" w:eastAsia="en-US"/>
        </w:rPr>
      </w:pPr>
      <w:r>
        <w:rPr>
          <w:color w:val="000000"/>
          <w:sz w:val="24"/>
          <w:lang w:val="en-AU" w:eastAsia="en-US"/>
        </w:rPr>
        <w:t xml:space="preserve">Processing applications for electricity supply licenses in Ireland and Northern Ireland.  </w:t>
      </w:r>
    </w:p>
    <w:p>
      <w:pPr>
        <w:pStyle w:val="Heading5"/>
        <w:ind w:hanging="0" w:start="0"/>
        <w:rPr>
          <w:color w:val="000000"/>
          <w:sz w:val="24"/>
          <w:lang w:val="en-AU" w:eastAsia="en-US"/>
        </w:rPr>
      </w:pPr>
      <w:r>
        <w:rPr>
          <w:color w:val="000000"/>
          <w:sz w:val="24"/>
          <w:lang w:val="en-AU" w:eastAsia="en-US"/>
        </w:rPr>
      </w:r>
    </w:p>
    <w:p>
      <w:pPr>
        <w:pStyle w:val="Heading4"/>
        <w:ind w:hanging="0" w:start="0"/>
        <w:rPr/>
      </w:pPr>
      <w:r>
        <w:rPr/>
        <w:t>Turkey</w:t>
      </w:r>
    </w:p>
    <w:p>
      <w:pPr>
        <w:pStyle w:val="Heading4"/>
        <w:numPr>
          <w:ilvl w:val="0"/>
          <w:numId w:val="3"/>
        </w:numPr>
        <w:rPr>
          <w:b w:val="false"/>
        </w:rPr>
      </w:pPr>
      <w:r>
        <w:rPr>
          <w:b w:val="false"/>
        </w:rPr>
        <w:t>We met with the Petroleum Affairs General Directorate and clarified the Ministry's interpretation of the recent Communiqué governing petroleum products import licenses.  The new decree is extremely restrictive and is being interpreted narrowly such that no third party may apply for an import license in respect of Trakya.  Enron is still investigating further options prior to a Trakya application.  Outstanding issues remain on how to specify a volume for importation which depends on an unknown level of interruption of the primary fuel.</w:t>
      </w:r>
    </w:p>
    <w:p>
      <w:pPr>
        <w:pStyle w:val="Heading4"/>
        <w:ind w:hanging="0" w:start="0"/>
        <w:rPr>
          <w:b w:val="false"/>
        </w:rPr>
      </w:pPr>
      <w:r>
        <w:rPr>
          <w:b w:val="false"/>
        </w:rPr>
      </w:r>
    </w:p>
    <w:p>
      <w:pPr>
        <w:pStyle w:val="Heading2"/>
        <w:ind w:hanging="0" w:start="0"/>
        <w:jc w:val="both"/>
        <w:rPr>
          <w:b/>
        </w:rPr>
      </w:pPr>
      <w:r>
        <w:rPr>
          <w:b/>
        </w:rPr>
        <w:t>Hungary</w:t>
      </w:r>
    </w:p>
    <w:p>
      <w:pPr>
        <w:pStyle w:val="BodyText2"/>
        <w:numPr>
          <w:ilvl w:val="0"/>
          <w:numId w:val="3"/>
        </w:numPr>
        <w:jc w:val="both"/>
        <w:rPr/>
      </w:pPr>
      <w:r>
        <w:rPr/>
        <w:t>A paper on the treatment of stranded costs is in preparation for the Hungarian Energy Office.</w:t>
      </w:r>
    </w:p>
    <w:p>
      <w:pPr>
        <w:pStyle w:val="Normal"/>
        <w:spacing w:lineRule="atLeast" w:line="240"/>
        <w:jc w:val="both"/>
        <w:rPr>
          <w:rFonts w:ascii="Helv;Arial" w:hAnsi="Helv;Arial" w:cs="Helv;Arial"/>
          <w:color w:val="000000"/>
          <w:lang w:val="en-AU" w:eastAsia="en-US"/>
        </w:rPr>
      </w:pPr>
      <w:r>
        <w:rPr>
          <w:rFonts w:cs="Helv;Arial" w:ascii="Helv;Arial" w:hAnsi="Helv;Arial"/>
          <w:color w:val="000000"/>
          <w:lang w:val="en-AU" w:eastAsia="en-US"/>
        </w:rPr>
      </w:r>
    </w:p>
    <w:p>
      <w:pPr>
        <w:pStyle w:val="Heading3"/>
        <w:ind w:hanging="0" w:start="0"/>
        <w:jc w:val="both"/>
        <w:rPr/>
      </w:pPr>
      <w:r>
        <w:rPr/>
        <w:t>Greece</w:t>
      </w:r>
    </w:p>
    <w:p>
      <w:pPr>
        <w:pStyle w:val="BodyText3"/>
        <w:numPr>
          <w:ilvl w:val="0"/>
          <w:numId w:val="3"/>
        </w:numPr>
        <w:rPr/>
      </w:pPr>
      <w:r>
        <w:rPr/>
        <w:t>A paper on futures markets and power exchanges is in preparation for the Greek regulatory authority.</w:t>
      </w:r>
    </w:p>
    <w:p>
      <w:pPr>
        <w:pStyle w:val="Heading4"/>
        <w:ind w:hanging="0" w:start="0"/>
        <w:rPr/>
      </w:pPr>
      <w:r>
        <w:rPr/>
      </w:r>
    </w:p>
    <w:p>
      <w:pPr>
        <w:pStyle w:val="Heading3"/>
        <w:ind w:hanging="0" w:start="0"/>
        <w:jc w:val="both"/>
        <w:rPr/>
      </w:pPr>
      <w:r>
        <w:rPr/>
        <w:t>Poland</w:t>
      </w:r>
    </w:p>
    <w:p>
      <w:pPr>
        <w:pStyle w:val="Normal"/>
        <w:numPr>
          <w:ilvl w:val="0"/>
          <w:numId w:val="3"/>
        </w:numPr>
        <w:spacing w:lineRule="atLeast" w:line="240"/>
        <w:jc w:val="both"/>
        <w:rPr>
          <w:color w:val="000000"/>
          <w:sz w:val="24"/>
          <w:lang w:val="en-AU" w:eastAsia="en-US"/>
        </w:rPr>
      </w:pPr>
      <w:r>
        <w:rPr>
          <w:color w:val="000000"/>
          <w:sz w:val="24"/>
          <w:lang w:val="en-AU" w:eastAsia="en-US"/>
        </w:rPr>
        <w:t>We met with the President of PSE-Elektra, Mr Poreba, on 3 August to discuss UK NETA plans for balancing and settlement bid structuring and pricing.  Poreba is the architect of PSE's balancing and settlement rules.</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3"/>
        </w:numPr>
        <w:spacing w:lineRule="atLeast" w:line="240"/>
        <w:jc w:val="both"/>
        <w:rPr>
          <w:color w:val="000000"/>
          <w:sz w:val="24"/>
          <w:lang w:val="en-AU" w:eastAsia="en-US"/>
        </w:rPr>
      </w:pPr>
      <w:r>
        <w:rPr>
          <w:color w:val="000000"/>
          <w:sz w:val="24"/>
          <w:lang w:val="en-AU" w:eastAsia="en-US"/>
        </w:rPr>
        <w:t>We sent a letter to Gielda Energii on 2 August seeking clarification that Enron is able to proceed to the next stage in the Gielda's tender process for shares.</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3"/>
        </w:numPr>
        <w:spacing w:lineRule="atLeast" w:line="240"/>
        <w:jc w:val="both"/>
        <w:rPr>
          <w:color w:val="000000"/>
          <w:sz w:val="24"/>
          <w:lang w:val="en-AU" w:eastAsia="en-US"/>
        </w:rPr>
      </w:pPr>
      <w:r>
        <w:rPr>
          <w:color w:val="000000"/>
          <w:sz w:val="24"/>
          <w:lang w:val="en-AU" w:eastAsia="en-US"/>
        </w:rPr>
        <w:t>Following an invitation, we met with the Social Partnership Center of the Ministry of Labour on 4 August.  Depending on the quality of individuals that its working groups attract, the Center may provide a forum through which to communicate our high-level policy messages.  We will seek clarification of the companies participating before agree to participate in its program.</w:t>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t>Distribution</w:t>
      </w:r>
    </w:p>
    <w:p>
      <w:pPr>
        <w:pStyle w:val="Normal"/>
        <w:spacing w:lineRule="atLeast" w:line="240"/>
        <w:jc w:val="both"/>
        <w:rPr>
          <w:b/>
          <w:color w:val="000000"/>
          <w:sz w:val="24"/>
          <w:lang w:val="en-AU" w:eastAsia="en-US"/>
        </w:rPr>
      </w:pPr>
      <w:r>
        <w:rPr>
          <w:b/>
          <w:color w:val="000000"/>
          <w:sz w:val="24"/>
          <w:lang w:val="en-AU" w:eastAsia="en-US"/>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Stuart Foulkes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eastAsia="en-US"/>
              </w:rPr>
            </w:pPr>
            <w:r>
              <w:rPr>
                <w:color w:val="000000"/>
                <w:sz w:val="24"/>
                <w:lang w:val="en-AU" w:eastAsia="en-US"/>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eastAsia="en-US"/>
              </w:rPr>
            </w:pPr>
            <w:r>
              <w:rPr>
                <w:color w:val="000000"/>
                <w:sz w:val="24"/>
                <w:lang w:val="en-AU" w:eastAsia="en-US"/>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eastAsia="en-US"/>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bl>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eastAsia="en-US"/>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eastAsia="en-US"/>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eastAsia="en-US"/>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eastAsia="en-US"/>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tLeast" w:line="240"/>
      <w:outlineLvl w:val="5"/>
    </w:pPr>
    <w:rPr>
      <w:rFonts w:ascii="Helv;Arial" w:hAnsi="Helv;Arial" w:cs="Helv;Arial"/>
      <w:b/>
      <w:color w:val="000000"/>
      <w:lang w:val="en-AU" w:eastAsia="en-US"/>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Times New Roman" w:hAnsi="Times New Roman" w:cs="Times New Roman"/>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 w:val="24"/>
      <w:lang w:val="en-AU" w:eastAsia="en-US"/>
    </w:rPr>
  </w:style>
  <w:style w:type="paragraph" w:styleId="BodyText3">
    <w:name w:val="Body Text 3"/>
    <w:basedOn w:val="Normal"/>
    <w:qFormat/>
    <w:pPr>
      <w:spacing w:lineRule="atLeast" w:line="240"/>
      <w:jc w:val="both"/>
    </w:pPr>
    <w:rPr>
      <w:color w:val="000000"/>
      <w:sz w:val="24"/>
      <w:lang w:val="en-AU"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2000-08-08T11:27:00Z</dcterms:created>
  <dc:creator>SEvans2</dc:creator>
  <dc:description/>
  <dc:language>en-CA</dc:language>
  <cp:lastModifiedBy>bashcrof</cp:lastModifiedBy>
  <cp:lastPrinted>2000-08-10T09:22:00Z</cp:lastPrinted>
  <dcterms:modified xsi:type="dcterms:W3CDTF">2000-08-10T05:52:00Z</dcterms:modified>
  <cp:revision>4</cp:revision>
  <dc:subject/>
  <dc:title>Weekly Report </dc:title>
</cp:coreProperties>
</file>