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jc w:val="end"/>
        <w:rPr>
          <w:b/>
          <w:bCs/>
          <w:i/>
          <w:i/>
          <w:sz w:val="28"/>
        </w:rPr>
      </w:pPr>
      <w:r>
        <w:rPr>
          <w:b/>
          <w:bCs/>
          <w:i/>
          <w:sz w:val="28"/>
        </w:rPr>
        <w:t>DRAFT</w:t>
      </w:r>
    </w:p>
    <w:p>
      <w:pPr>
        <w:pStyle w:val="Normal"/>
        <w:rPr>
          <w:b/>
          <w:bCs/>
          <w:i/>
          <w:i/>
          <w:sz w:val="26"/>
        </w:rPr>
      </w:pPr>
      <w:r>
        <w:rPr>
          <w:b/>
          <w:bCs/>
          <w:i/>
          <w:sz w:val="26"/>
        </w:rPr>
      </w:r>
    </w:p>
    <w:p>
      <w:pPr>
        <w:pStyle w:val="Normal"/>
        <w:jc w:val="center"/>
        <w:rPr>
          <w:b/>
          <w:sz w:val="26"/>
        </w:rPr>
      </w:pPr>
      <w:r>
        <w:rPr>
          <w:b/>
          <w:sz w:val="26"/>
        </w:rPr>
      </w:r>
    </w:p>
    <w:p>
      <w:pPr>
        <w:pStyle w:val="Normal"/>
        <w:jc w:val="center"/>
        <w:rPr>
          <w:b/>
          <w:sz w:val="26"/>
        </w:rPr>
      </w:pPr>
      <w:r>
        <w:rPr>
          <w:b/>
          <w:sz w:val="26"/>
        </w:rPr>
        <w:t>MINUTES</w:t>
      </w:r>
    </w:p>
    <w:p>
      <w:pPr>
        <w:pStyle w:val="Normal"/>
        <w:jc w:val="center"/>
        <w:rPr>
          <w:b/>
          <w:sz w:val="26"/>
        </w:rPr>
      </w:pPr>
      <w:r>
        <w:rPr>
          <w:b/>
          <w:sz w:val="26"/>
        </w:rPr>
        <w:t>SPECIAL MEETING OF THE BOARD OF DIRECTORS</w:t>
      </w:r>
    </w:p>
    <w:p>
      <w:pPr>
        <w:pStyle w:val="Normal"/>
        <w:jc w:val="center"/>
        <w:rPr>
          <w:b/>
          <w:sz w:val="26"/>
        </w:rPr>
      </w:pPr>
      <w:r>
        <w:rPr>
          <w:b/>
          <w:sz w:val="26"/>
        </w:rPr>
        <w:t>ENRON CORP.</w:t>
      </w:r>
    </w:p>
    <w:p>
      <w:pPr>
        <w:pStyle w:val="Normal"/>
        <w:jc w:val="center"/>
        <w:rPr>
          <w:b/>
          <w:sz w:val="26"/>
        </w:rPr>
      </w:pPr>
      <w:r>
        <w:rPr>
          <w:b/>
          <w:sz w:val="26"/>
        </w:rPr>
        <w:t>October 5, 2001</w:t>
      </w:r>
    </w:p>
    <w:p>
      <w:pPr>
        <w:pStyle w:val="Normal"/>
        <w:jc w:val="both"/>
        <w:rPr>
          <w:b/>
          <w:sz w:val="26"/>
        </w:rPr>
      </w:pPr>
      <w:r>
        <w:rPr>
          <w:b/>
          <w:sz w:val="26"/>
        </w:rPr>
      </w:r>
    </w:p>
    <w:p>
      <w:pPr>
        <w:pStyle w:val="Normal"/>
        <w:jc w:val="both"/>
        <w:rPr>
          <w:sz w:val="26"/>
        </w:rPr>
      </w:pPr>
      <w:r>
        <w:rPr>
          <w:sz w:val="26"/>
        </w:rPr>
        <w:tab/>
        <w:t xml:space="preserve">Minutes of a special meeting of the Board of Directors of Enron Corp. ("Company"), noticed to begin at 3:00 p.m., C.D.T., but actually begun at 3:06 p.m., C.D.T., on October 5, 2001 at the Enron Building in Houston, Texas. </w:t>
      </w:r>
    </w:p>
    <w:p>
      <w:pPr>
        <w:pStyle w:val="Normal"/>
        <w:jc w:val="both"/>
        <w:rPr>
          <w:sz w:val="26"/>
        </w:rPr>
      </w:pPr>
      <w:r>
        <w:rPr>
          <w:sz w:val="26"/>
        </w:rPr>
      </w:r>
    </w:p>
    <w:p>
      <w:pPr>
        <w:pStyle w:val="Normal"/>
        <w:jc w:val="both"/>
        <w:rPr>
          <w:sz w:val="26"/>
        </w:rPr>
      </w:pPr>
      <w:r>
        <w:rPr>
          <w:sz w:val="26"/>
        </w:rPr>
        <w:tab/>
        <w:t>All of the Directors were present, either in person or by telephone conference connection whereby each of the participants could hear the comments and discussions by the other participants and join in the discussions, as follows:</w:t>
      </w:r>
    </w:p>
    <w:p>
      <w:pPr>
        <w:pStyle w:val="Normal"/>
        <w:jc w:val="both"/>
        <w:rPr>
          <w:sz w:val="26"/>
        </w:rPr>
      </w:pPr>
      <w:r>
        <w:rPr>
          <w:sz w:val="26"/>
        </w:rPr>
      </w:r>
    </w:p>
    <w:p>
      <w:pPr>
        <w:pStyle w:val="Normal"/>
        <w:ind w:start="1440" w:end="0"/>
        <w:jc w:val="both"/>
        <w:rPr>
          <w:sz w:val="26"/>
        </w:rPr>
      </w:pPr>
      <w:r>
        <w:rPr>
          <w:sz w:val="26"/>
        </w:rPr>
        <w:t xml:space="preserve">Mr. Kenneth L. Lay, Chairman </w:t>
      </w:r>
    </w:p>
    <w:p>
      <w:pPr>
        <w:pStyle w:val="Normal"/>
        <w:ind w:start="1440" w:end="0"/>
        <w:jc w:val="both"/>
        <w:rPr>
          <w:sz w:val="26"/>
        </w:rPr>
      </w:pPr>
      <w:r>
        <w:rPr>
          <w:sz w:val="26"/>
        </w:rPr>
        <w:t>Mr. Robert A. Belfer</w:t>
      </w:r>
    </w:p>
    <w:p>
      <w:pPr>
        <w:pStyle w:val="Normal"/>
        <w:ind w:start="1440" w:end="0"/>
        <w:jc w:val="both"/>
        <w:rPr>
          <w:sz w:val="26"/>
        </w:rPr>
      </w:pPr>
      <w:r>
        <w:rPr>
          <w:sz w:val="26"/>
        </w:rPr>
        <w:t>Mr. Norman P. Blake, Jr.</w:t>
      </w:r>
    </w:p>
    <w:p>
      <w:pPr>
        <w:pStyle w:val="Normal"/>
        <w:ind w:start="1440" w:end="0"/>
        <w:jc w:val="both"/>
        <w:rPr>
          <w:sz w:val="26"/>
        </w:rPr>
      </w:pPr>
      <w:r>
        <w:rPr>
          <w:sz w:val="26"/>
        </w:rPr>
        <w:t>Mr. Ronnie C. Chan</w:t>
      </w:r>
    </w:p>
    <w:p>
      <w:pPr>
        <w:pStyle w:val="Normal"/>
        <w:ind w:start="1440" w:end="0"/>
        <w:jc w:val="both"/>
        <w:rPr>
          <w:sz w:val="26"/>
        </w:rPr>
      </w:pPr>
      <w:r>
        <w:rPr>
          <w:sz w:val="26"/>
        </w:rPr>
        <w:t>Mr. John H. Duncan</w:t>
      </w:r>
    </w:p>
    <w:p>
      <w:pPr>
        <w:pStyle w:val="Normal"/>
        <w:ind w:start="1440" w:end="0"/>
        <w:jc w:val="both"/>
        <w:rPr>
          <w:sz w:val="26"/>
        </w:rPr>
      </w:pPr>
      <w:r>
        <w:rPr>
          <w:sz w:val="26"/>
        </w:rPr>
        <w:t>Dr. Wendy L. Gramm</w:t>
      </w:r>
    </w:p>
    <w:p>
      <w:pPr>
        <w:pStyle w:val="Normal"/>
        <w:ind w:start="1440" w:end="0"/>
        <w:jc w:val="both"/>
        <w:rPr>
          <w:sz w:val="26"/>
        </w:rPr>
      </w:pPr>
      <w:r>
        <w:rPr>
          <w:sz w:val="26"/>
        </w:rPr>
        <w:t xml:space="preserve">Dr. Robert K. Jaedicke </w:t>
      </w:r>
    </w:p>
    <w:p>
      <w:pPr>
        <w:pStyle w:val="Heading4"/>
        <w:ind w:hanging="0" w:start="1440" w:end="0"/>
        <w:rPr/>
      </w:pPr>
      <w:r>
        <w:rPr/>
        <w:t>Dr. Charles A. LeMaistre</w:t>
        <w:br/>
        <w:t>Dr. John Mendelsohn</w:t>
      </w:r>
    </w:p>
    <w:p>
      <w:pPr>
        <w:pStyle w:val="Heading5"/>
        <w:jc w:val="start"/>
        <w:rPr/>
      </w:pPr>
      <w:r>
        <w:rPr/>
        <w:t>Mr. Paulo V. Ferraz Pereira</w:t>
        <w:br/>
        <w:t>Mr. Frank Savage</w:t>
      </w:r>
    </w:p>
    <w:p>
      <w:pPr>
        <w:pStyle w:val="Normal"/>
        <w:ind w:start="1440" w:end="0"/>
        <w:jc w:val="both"/>
        <w:rPr>
          <w:sz w:val="26"/>
        </w:rPr>
      </w:pPr>
      <w:r>
        <w:rPr>
          <w:sz w:val="26"/>
        </w:rPr>
        <w:t>Lord John Wakeham</w:t>
      </w:r>
    </w:p>
    <w:p>
      <w:pPr>
        <w:pStyle w:val="Normal"/>
        <w:ind w:start="1440" w:end="0"/>
        <w:jc w:val="both"/>
        <w:rPr>
          <w:sz w:val="26"/>
        </w:rPr>
      </w:pPr>
      <w:r>
        <w:rPr>
          <w:sz w:val="26"/>
        </w:rPr>
        <w:t>Mr. Herbert S. Winokur, Jr.</w:t>
      </w:r>
    </w:p>
    <w:p>
      <w:pPr>
        <w:pStyle w:val="Normal"/>
        <w:jc w:val="both"/>
        <w:rPr>
          <w:sz w:val="26"/>
        </w:rPr>
      </w:pPr>
      <w:r>
        <w:rPr>
          <w:sz w:val="26"/>
        </w:rPr>
      </w:r>
    </w:p>
    <w:p>
      <w:pPr>
        <w:pStyle w:val="Heading5"/>
        <w:ind w:firstLine="720" w:start="0" w:end="0"/>
        <w:rPr/>
      </w:pPr>
      <w:r>
        <w:rPr/>
        <w:t>Messrs. Richard B. Buy, Richard C. Causey, James V. Derrick, Jr., Andrew S. Fastow, Mark E. Koenig, J. Mark Metts, and Stanley C. Horton and Mesdames Paula H. Rieker and Jessica R. Uhl, all of the Company or affiliates thereof, and Mr. Richard N. Foster, of McKinsey &amp; Company, Inc., also attended the meeting.  Mr. Jamie Welch of Credit Suisse First Boston Corporation (“CSFB”) joined the meeting in progress as noted below.</w:t>
      </w:r>
    </w:p>
    <w:p>
      <w:pPr>
        <w:pStyle w:val="Normal"/>
        <w:jc w:val="both"/>
        <w:rPr>
          <w:sz w:val="26"/>
        </w:rPr>
      </w:pPr>
      <w:r>
        <w:rPr>
          <w:sz w:val="26"/>
        </w:rPr>
      </w:r>
    </w:p>
    <w:p>
      <w:pPr>
        <w:pStyle w:val="Normal"/>
        <w:ind w:firstLine="720" w:end="0"/>
        <w:jc w:val="both"/>
        <w:rPr>
          <w:sz w:val="26"/>
        </w:rPr>
      </w:pPr>
      <w:r>
        <w:rPr>
          <w:sz w:val="26"/>
        </w:rPr>
        <w:t>The Chairman, Mr. Lay, presided at the meeting, and the Secretary, Ms. Rieker, recorded the proceedings.</w:t>
      </w:r>
    </w:p>
    <w:p>
      <w:pPr>
        <w:pStyle w:val="Normal"/>
        <w:ind w:firstLine="720" w:end="0"/>
        <w:jc w:val="both"/>
        <w:rPr>
          <w:sz w:val="26"/>
        </w:rPr>
      </w:pPr>
      <w:r>
        <w:rPr>
          <w:sz w:val="26"/>
        </w:rPr>
      </w:r>
    </w:p>
    <w:p>
      <w:pPr>
        <w:pStyle w:val="BodyTextIndent"/>
        <w:rPr/>
      </w:pPr>
      <w:r>
        <w:rPr/>
        <w:t xml:space="preserve">Mr. Lay called the meeting to order and inquired if the Board members had received the material for the meeting and each responded that he or she had received the material, a copy of which is filed with the records of the meeting. </w:t>
      </w:r>
    </w:p>
    <w:p>
      <w:pPr>
        <w:pStyle w:val="BodyTextIndent"/>
        <w:rPr/>
      </w:pPr>
      <w:r>
        <w:rPr/>
      </w:r>
    </w:p>
    <w:p>
      <w:pPr>
        <w:pStyle w:val="Normal"/>
        <w:ind w:firstLine="720" w:end="0"/>
        <w:jc w:val="both"/>
        <w:rPr>
          <w:sz w:val="26"/>
        </w:rPr>
      </w:pPr>
      <w:r>
        <w:rPr>
          <w:sz w:val="26"/>
        </w:rPr>
        <w:t xml:space="preserve">Mr. Lay confirmed that Mr. Winokur had been briefed on the proposed transaction prior to the call.  Mr. Winokur noted that he was in favor of the proposed transaction and indicated he would exit the meeting in approximately ten minutes.  </w:t>
      </w:r>
    </w:p>
    <w:p>
      <w:pPr>
        <w:pStyle w:val="Normal"/>
        <w:ind w:firstLine="720" w:end="0"/>
        <w:jc w:val="both"/>
        <w:rPr>
          <w:sz w:val="26"/>
        </w:rPr>
      </w:pPr>
      <w:r>
        <w:rPr>
          <w:sz w:val="26"/>
        </w:rPr>
      </w:r>
    </w:p>
    <w:p>
      <w:pPr>
        <w:pStyle w:val="Normal"/>
        <w:ind w:firstLine="720" w:end="0"/>
        <w:jc w:val="both"/>
        <w:rPr>
          <w:sz w:val="26"/>
        </w:rPr>
      </w:pPr>
      <w:r>
        <w:rPr>
          <w:sz w:val="26"/>
        </w:rPr>
        <w:t>Mr. Lay called upon Messrs. Fastow and Metts to begin the presentation.  Mr. Metts indicated the proposed transaction had been reported on by the Wall Street Journal that same morning without official sources and with no comments by the parties directly involved in the transaction.  He noted that the stock of one of the parties to the proposed transaction, Northwest Natural Gas Company (“NWN”), had opened down that morning and was last down approximately $2.50 per share.  He described the proposed transaction as a firm offer from NWN to purchase the Company’s 100% ownership interest in Portland General Electric Company (“PGE”) for approximately $3 billion of total value, including $1.55 million in cash, $250 million of other securities, $75 million related to the cancellation of PGE’s merger receivable from the Company, and $1.124 billion of debt assumption.  He highlighted the positive impact of a completed transaction on the Company’s balance sheet, including an immediate benefit upon closing of $1.625 billion, comprised of the cash proceeds and the cancelled receivable, plus the elimination of over $1.1 billion of debt.  He then provided details of the $250 million of other securities and described an additional benefit to the Company of approximately $270 million of dividends to be paid to the Company upon closing.</w:t>
      </w:r>
    </w:p>
    <w:p>
      <w:pPr>
        <w:pStyle w:val="Normal"/>
        <w:ind w:firstLine="720" w:end="0"/>
        <w:jc w:val="both"/>
        <w:rPr>
          <w:sz w:val="26"/>
        </w:rPr>
      </w:pPr>
      <w:r>
        <w:rPr>
          <w:sz w:val="26"/>
        </w:rPr>
      </w:r>
    </w:p>
    <w:p>
      <w:pPr>
        <w:pStyle w:val="Normal"/>
        <w:ind w:firstLine="720" w:end="0"/>
        <w:jc w:val="both"/>
        <w:rPr>
          <w:sz w:val="26"/>
        </w:rPr>
      </w:pPr>
      <w:r>
        <w:rPr>
          <w:sz w:val="26"/>
        </w:rPr>
        <w:t xml:space="preserve">Mr. Metts stated that the proposed transaction would have minimal impact on the earnings of the Company at closing, assuming the allocation of approximately $600 million of goodwill to the assets sold.  He reported that in 2003, the first full year of operations following the expected closing, the transaction could reduce the Company’s annual operating net income by approximately $0.05 per diluted share, assuming proceeds of the sale were utilized to repay debt.  Mr. Causey indicated the goodwill allocation was consistent with both accounting guidelines and with the Company’s overall goodwill methodology. </w:t>
      </w:r>
    </w:p>
    <w:p>
      <w:pPr>
        <w:pStyle w:val="Normal"/>
        <w:ind w:firstLine="720" w:end="0"/>
        <w:jc w:val="both"/>
        <w:rPr>
          <w:sz w:val="26"/>
        </w:rPr>
      </w:pPr>
      <w:r>
        <w:rPr>
          <w:sz w:val="26"/>
        </w:rPr>
      </w:r>
    </w:p>
    <w:p>
      <w:pPr>
        <w:pStyle w:val="Normal"/>
        <w:ind w:firstLine="720" w:end="0"/>
        <w:jc w:val="both"/>
        <w:rPr>
          <w:sz w:val="26"/>
        </w:rPr>
      </w:pPr>
      <w:r>
        <w:rPr>
          <w:sz w:val="26"/>
        </w:rPr>
        <w:t xml:space="preserve">Mr. Fastow stated that the completion of financing and regulatory approvals were important steps in closing the transaction.  He indicated that the transaction was subject to financing, but that strong verbal underwriting commitments had been obtained from two major investment banks.  He concluded that the transaction reflected the maximum financial protection available in the current market.  Mr. Metts stated that there was an expected timeframe of twelve to fifteen months to obtain regulatory approvals.  He noted the NWN was a very favorable buyer from a regulatory perspective and that preliminary discussions with state regulators from Oregon and Washington had been positive.  He also noted that approval by the Securities and Exchange Commission was expected to be a manageable process.  Mr. Fastow added that the transaction was targeted for completion by late 2002 or early 2003.  </w:t>
      </w:r>
    </w:p>
    <w:p>
      <w:pPr>
        <w:pStyle w:val="Normal"/>
        <w:ind w:firstLine="720" w:end="0"/>
        <w:jc w:val="both"/>
        <w:rPr>
          <w:sz w:val="26"/>
        </w:rPr>
      </w:pPr>
      <w:r>
        <w:rPr>
          <w:sz w:val="26"/>
        </w:rPr>
      </w:r>
    </w:p>
    <w:p>
      <w:pPr>
        <w:pStyle w:val="Normal"/>
        <w:ind w:firstLine="720" w:end="0"/>
        <w:jc w:val="both"/>
        <w:rPr>
          <w:sz w:val="26"/>
        </w:rPr>
      </w:pPr>
      <w:r>
        <w:rPr>
          <w:sz w:val="26"/>
        </w:rPr>
        <w:t xml:space="preserve">Ms. Uhl exited the meeting.  </w:t>
      </w:r>
    </w:p>
    <w:p>
      <w:pPr>
        <w:pStyle w:val="Normal"/>
        <w:ind w:firstLine="720" w:end="0"/>
        <w:jc w:val="both"/>
        <w:rPr>
          <w:sz w:val="26"/>
        </w:rPr>
      </w:pPr>
      <w:r>
        <w:rPr>
          <w:sz w:val="26"/>
        </w:rPr>
      </w:r>
    </w:p>
    <w:p>
      <w:pPr>
        <w:pStyle w:val="Normal"/>
        <w:ind w:firstLine="720" w:end="0"/>
        <w:jc w:val="both"/>
        <w:rPr>
          <w:sz w:val="26"/>
        </w:rPr>
      </w:pPr>
      <w:r>
        <w:rPr>
          <w:sz w:val="26"/>
        </w:rPr>
        <w:t>Mr. Fastow indicated that CSFB would provide a fairness opinion on the transaction to the Company, as the proposed transaction was expected to yield slightly less than the previously terminated transaction with Sierra Pacific Resources (“SRP”) and in light of the current financial markets and PGE’s rate case.</w:t>
      </w:r>
    </w:p>
    <w:p>
      <w:pPr>
        <w:pStyle w:val="Normal"/>
        <w:ind w:firstLine="720" w:end="0"/>
        <w:jc w:val="both"/>
        <w:rPr>
          <w:sz w:val="26"/>
        </w:rPr>
      </w:pPr>
      <w:r>
        <w:rPr>
          <w:sz w:val="26"/>
        </w:rPr>
      </w:r>
    </w:p>
    <w:p>
      <w:pPr>
        <w:pStyle w:val="Normal"/>
        <w:ind w:firstLine="720" w:end="0"/>
        <w:jc w:val="both"/>
        <w:rPr>
          <w:sz w:val="26"/>
        </w:rPr>
      </w:pPr>
      <w:r>
        <w:rPr>
          <w:sz w:val="26"/>
        </w:rPr>
        <w:t>Ms. Uhl reentered the meeting.</w:t>
      </w:r>
    </w:p>
    <w:p>
      <w:pPr>
        <w:pStyle w:val="Normal"/>
        <w:ind w:firstLine="720" w:end="0"/>
        <w:jc w:val="both"/>
        <w:rPr>
          <w:sz w:val="26"/>
        </w:rPr>
      </w:pPr>
      <w:r>
        <w:rPr>
          <w:sz w:val="26"/>
        </w:rPr>
      </w:r>
    </w:p>
    <w:p>
      <w:pPr>
        <w:pStyle w:val="Normal"/>
        <w:ind w:firstLine="720" w:end="0"/>
        <w:jc w:val="both"/>
        <w:rPr>
          <w:sz w:val="26"/>
        </w:rPr>
      </w:pPr>
      <w:r>
        <w:rPr>
          <w:sz w:val="26"/>
        </w:rPr>
        <w:t>Mr. Fastow reported that discussions with seven bidders other than NWM had been held, but no bid was higher than the proposed transaction.  Mr. Metts added that the transaction with NWN contained favorable terms, and he indicated that a positive, pubic reaction was expected by the rating agencies.</w:t>
      </w:r>
    </w:p>
    <w:p>
      <w:pPr>
        <w:pStyle w:val="Normal"/>
        <w:ind w:firstLine="720" w:end="0"/>
        <w:jc w:val="both"/>
        <w:rPr>
          <w:sz w:val="26"/>
        </w:rPr>
      </w:pPr>
      <w:r>
        <w:rPr>
          <w:sz w:val="26"/>
        </w:rPr>
      </w:r>
    </w:p>
    <w:p>
      <w:pPr>
        <w:pStyle w:val="Normal"/>
        <w:ind w:firstLine="720" w:end="0"/>
        <w:jc w:val="both"/>
        <w:rPr>
          <w:sz w:val="26"/>
        </w:rPr>
      </w:pPr>
      <w:r>
        <w:rPr>
          <w:sz w:val="26"/>
        </w:rPr>
        <w:t>Dr. Mendelsohn noted his support of the transaction, provided his proxy to Mr. Lay, and exited the meeting.</w:t>
      </w:r>
    </w:p>
    <w:p>
      <w:pPr>
        <w:pStyle w:val="Normal"/>
        <w:ind w:firstLine="720" w:end="0"/>
        <w:jc w:val="both"/>
        <w:rPr>
          <w:sz w:val="26"/>
        </w:rPr>
      </w:pPr>
      <w:r>
        <w:rPr>
          <w:sz w:val="26"/>
        </w:rPr>
      </w:r>
    </w:p>
    <w:p>
      <w:pPr>
        <w:pStyle w:val="Normal"/>
        <w:ind w:firstLine="720" w:end="0"/>
        <w:jc w:val="both"/>
        <w:rPr>
          <w:sz w:val="26"/>
        </w:rPr>
      </w:pPr>
      <w:r>
        <w:rPr>
          <w:sz w:val="26"/>
        </w:rPr>
        <w:t xml:space="preserve">Mr. Causey responded to questions from the Board as to the impact of the proposed transaction on the Company’s financial returns.  </w:t>
      </w:r>
    </w:p>
    <w:p>
      <w:pPr>
        <w:pStyle w:val="Normal"/>
        <w:ind w:firstLine="720" w:end="0"/>
        <w:jc w:val="both"/>
        <w:rPr>
          <w:sz w:val="26"/>
        </w:rPr>
      </w:pPr>
      <w:r>
        <w:rPr>
          <w:sz w:val="26"/>
        </w:rPr>
      </w:r>
    </w:p>
    <w:p>
      <w:pPr>
        <w:pStyle w:val="Normal"/>
        <w:ind w:firstLine="720" w:end="0"/>
        <w:jc w:val="both"/>
        <w:rPr>
          <w:sz w:val="26"/>
        </w:rPr>
      </w:pPr>
      <w:r>
        <w:rPr>
          <w:sz w:val="26"/>
        </w:rPr>
        <w:t xml:space="preserve">Mr. Welch joined the meeting in process via telephone.  Mr. Koenig exited the meeting.  </w:t>
      </w:r>
    </w:p>
    <w:p>
      <w:pPr>
        <w:pStyle w:val="Normal"/>
        <w:ind w:firstLine="720" w:end="0"/>
        <w:jc w:val="both"/>
        <w:rPr>
          <w:sz w:val="26"/>
        </w:rPr>
      </w:pPr>
      <w:r>
        <w:rPr>
          <w:sz w:val="26"/>
        </w:rPr>
      </w:r>
    </w:p>
    <w:p>
      <w:pPr>
        <w:pStyle w:val="Normal"/>
        <w:ind w:firstLine="720" w:end="0"/>
        <w:jc w:val="both"/>
        <w:rPr>
          <w:sz w:val="26"/>
        </w:rPr>
      </w:pPr>
      <w:r>
        <w:rPr>
          <w:sz w:val="26"/>
        </w:rPr>
        <w:t xml:space="preserve">Mr. Metts introduced Mr. Welch as Managing Director of CSFB.  Mr. Welch compared the proposed transaction to the Company’s previous agreement with SRP and commented on the total purchase price of the proposed agreement.  He noted a series of developments that had occurred since the termination of the SRP agreement, including significant changes in the power markets in the western U.S., implementation of wholesale price caps by the Federal Energy Regulatory Commission, uncertainty associated with PGE’s rate case, and generally more difficult financial markets.  He cited the commitment of CSFB to underwrite both the purchase price and elements of working capital for NWN and PGE.  </w:t>
      </w:r>
    </w:p>
    <w:p>
      <w:pPr>
        <w:pStyle w:val="Normal"/>
        <w:ind w:firstLine="720" w:end="0"/>
        <w:jc w:val="both"/>
        <w:rPr>
          <w:sz w:val="26"/>
        </w:rPr>
      </w:pPr>
      <w:r>
        <w:rPr>
          <w:sz w:val="26"/>
        </w:rPr>
      </w:r>
    </w:p>
    <w:p>
      <w:pPr>
        <w:pStyle w:val="Normal"/>
        <w:ind w:firstLine="720" w:end="0"/>
        <w:jc w:val="both"/>
        <w:rPr>
          <w:sz w:val="26"/>
        </w:rPr>
      </w:pPr>
      <w:r>
        <w:rPr>
          <w:sz w:val="26"/>
        </w:rPr>
        <w:t>Ms. Uhl exited the meeting.</w:t>
      </w:r>
    </w:p>
    <w:p>
      <w:pPr>
        <w:pStyle w:val="Normal"/>
        <w:ind w:firstLine="720" w:end="0"/>
        <w:jc w:val="both"/>
        <w:rPr>
          <w:sz w:val="26"/>
        </w:rPr>
      </w:pPr>
      <w:r>
        <w:rPr>
          <w:sz w:val="26"/>
        </w:rPr>
      </w:r>
    </w:p>
    <w:p>
      <w:pPr>
        <w:pStyle w:val="Normal"/>
        <w:ind w:firstLine="720" w:end="0"/>
        <w:jc w:val="both"/>
        <w:rPr>
          <w:sz w:val="26"/>
        </w:rPr>
      </w:pPr>
      <w:r>
        <w:rPr>
          <w:sz w:val="26"/>
        </w:rPr>
        <w:t xml:space="preserve">Mr. Welch reviewed the expected positive response by the rating agencies to the transaction.  He reviewed his firm’s assessment of the purchase price as fair and cited the multiple valuation approaches utilized to arrive at the fairness opinion. </w:t>
      </w:r>
    </w:p>
    <w:p>
      <w:pPr>
        <w:pStyle w:val="Normal"/>
        <w:ind w:firstLine="720" w:end="0"/>
        <w:jc w:val="both"/>
        <w:rPr>
          <w:sz w:val="26"/>
        </w:rPr>
      </w:pPr>
      <w:r>
        <w:rPr>
          <w:sz w:val="26"/>
        </w:rPr>
      </w:r>
    </w:p>
    <w:p>
      <w:pPr>
        <w:pStyle w:val="Normal"/>
        <w:ind w:firstLine="720" w:end="0"/>
        <w:jc w:val="both"/>
        <w:rPr>
          <w:sz w:val="26"/>
        </w:rPr>
      </w:pPr>
      <w:r>
        <w:rPr>
          <w:sz w:val="26"/>
        </w:rPr>
        <w:t xml:space="preserve">Mr. Welch exited the meeting.  Mr. Koenig and Ms. Uhl rejoined the meeting.  </w:t>
      </w:r>
    </w:p>
    <w:p>
      <w:pPr>
        <w:pStyle w:val="Normal"/>
        <w:ind w:firstLine="720" w:end="0"/>
        <w:jc w:val="both"/>
        <w:rPr>
          <w:sz w:val="26"/>
        </w:rPr>
      </w:pPr>
      <w:r>
        <w:rPr>
          <w:sz w:val="26"/>
        </w:rPr>
      </w:r>
    </w:p>
    <w:p>
      <w:pPr>
        <w:pStyle w:val="Normal"/>
        <w:ind w:firstLine="720" w:end="0"/>
        <w:jc w:val="both"/>
        <w:rPr>
          <w:sz w:val="26"/>
        </w:rPr>
      </w:pPr>
      <w:r>
        <w:rPr>
          <w:sz w:val="26"/>
        </w:rPr>
        <w:t>Mr. Lay commented that it was management’s opinion that ownership of PGE was no longer strategic to the Company.  Mr. Koenig briefly commented on expected investor reaction to an announcement of the transaction.  Following discussion, upon motion duly made by Mr. Blake, seconded by Dr. Gramm, and carried, the following resolutions were approved:</w:t>
      </w:r>
    </w:p>
    <w:p>
      <w:pPr>
        <w:pStyle w:val="Normal"/>
        <w:tabs>
          <w:tab w:val="left" w:pos="720" w:leader="none"/>
          <w:tab w:val="left" w:pos="1440" w:leader="none"/>
          <w:tab w:val="left" w:pos="5040" w:leader="none"/>
          <w:tab w:val="left" w:pos="7200" w:leader="none"/>
        </w:tabs>
        <w:ind w:start="720" w:end="749"/>
        <w:jc w:val="both"/>
        <w:rPr>
          <w:spacing w:val="-3"/>
          <w:sz w:val="26"/>
        </w:rPr>
      </w:pPr>
      <w:r>
        <w:rPr>
          <w:spacing w:val="-3"/>
          <w:sz w:val="26"/>
        </w:rPr>
      </w:r>
    </w:p>
    <w:p>
      <w:pPr>
        <w:pStyle w:val="Normal"/>
        <w:tabs>
          <w:tab w:val="left" w:pos="720" w:leader="none"/>
          <w:tab w:val="left" w:pos="1440" w:leader="none"/>
          <w:tab w:val="left" w:pos="5040" w:leader="none"/>
          <w:tab w:val="left" w:pos="7200" w:leader="none"/>
        </w:tabs>
        <w:ind w:start="720" w:end="749"/>
        <w:jc w:val="both"/>
        <w:rPr>
          <w:spacing w:val="-3"/>
          <w:sz w:val="26"/>
        </w:rPr>
      </w:pPr>
      <w:r>
        <w:rPr>
          <w:spacing w:val="-3"/>
          <w:sz w:val="26"/>
        </w:rPr>
        <w:tab/>
        <w:t>WHEREAS, the Company owns all of the issued and outstanding common stock of Portland General Electric Company (“PGE”) and Portland General Holdings, Inc. (“PGH”);</w:t>
      </w:r>
    </w:p>
    <w:p>
      <w:pPr>
        <w:pStyle w:val="Normal"/>
        <w:tabs>
          <w:tab w:val="left" w:pos="720" w:leader="none"/>
          <w:tab w:val="left" w:pos="1440" w:leader="none"/>
          <w:tab w:val="left" w:pos="5040" w:leader="none"/>
          <w:tab w:val="left" w:pos="7200" w:leader="none"/>
        </w:tabs>
        <w:ind w:start="720" w:end="749"/>
        <w:jc w:val="both"/>
        <w:rPr>
          <w:spacing w:val="-3"/>
          <w:sz w:val="26"/>
        </w:rPr>
      </w:pPr>
      <w:r>
        <w:rPr>
          <w:spacing w:val="-3"/>
          <w:sz w:val="26"/>
        </w:rPr>
      </w:r>
    </w:p>
    <w:p>
      <w:pPr>
        <w:pStyle w:val="Normal"/>
        <w:tabs>
          <w:tab w:val="left" w:pos="720" w:leader="none"/>
          <w:tab w:val="left" w:pos="1440" w:leader="none"/>
          <w:tab w:val="left" w:pos="5040" w:leader="none"/>
          <w:tab w:val="left" w:pos="7200" w:leader="none"/>
        </w:tabs>
        <w:ind w:start="720" w:end="749"/>
        <w:jc w:val="both"/>
        <w:rPr>
          <w:spacing w:val="-3"/>
          <w:sz w:val="26"/>
        </w:rPr>
      </w:pPr>
      <w:r>
        <w:rPr>
          <w:spacing w:val="-3"/>
          <w:sz w:val="26"/>
        </w:rPr>
        <w:tab/>
        <w:t>WHEREAS, PGH owns all of the capital stock of PGH II, Inc. (“PGH II”);</w:t>
      </w:r>
    </w:p>
    <w:p>
      <w:pPr>
        <w:pStyle w:val="Normal"/>
        <w:tabs>
          <w:tab w:val="left" w:pos="720" w:leader="none"/>
          <w:tab w:val="left" w:pos="1440" w:leader="none"/>
          <w:tab w:val="left" w:pos="5040" w:leader="none"/>
          <w:tab w:val="left" w:pos="7200" w:leader="none"/>
        </w:tabs>
        <w:ind w:start="720" w:end="749"/>
        <w:jc w:val="both"/>
        <w:rPr>
          <w:spacing w:val="-3"/>
          <w:sz w:val="26"/>
        </w:rPr>
      </w:pPr>
      <w:r>
        <w:rPr>
          <w:spacing w:val="-3"/>
          <w:sz w:val="26"/>
        </w:rPr>
      </w:r>
    </w:p>
    <w:p>
      <w:pPr>
        <w:pStyle w:val="Normal"/>
        <w:tabs>
          <w:tab w:val="left" w:pos="720" w:leader="none"/>
          <w:tab w:val="left" w:pos="1440" w:leader="none"/>
          <w:tab w:val="left" w:pos="5040" w:leader="none"/>
          <w:tab w:val="left" w:pos="7200" w:leader="none"/>
        </w:tabs>
        <w:ind w:start="720" w:end="749"/>
        <w:jc w:val="both"/>
        <w:rPr>
          <w:spacing w:val="-3"/>
          <w:sz w:val="26"/>
        </w:rPr>
      </w:pPr>
      <w:r>
        <w:rPr>
          <w:spacing w:val="-3"/>
          <w:sz w:val="26"/>
        </w:rPr>
        <w:tab/>
        <w:t>WHEREAS, Enron Northwest Assets, LLC, a Delaware limited liability company (“Enron NW Assets”) holds an option to purchase all of the issued and outstanding common stock of PGE from the Company pursuant to an Option Agreement dated as of May 7, 2001 (the “PGE Option”);</w:t>
      </w:r>
    </w:p>
    <w:p>
      <w:pPr>
        <w:pStyle w:val="Normal"/>
        <w:tabs>
          <w:tab w:val="left" w:pos="720" w:leader="none"/>
          <w:tab w:val="left" w:pos="1440" w:leader="none"/>
          <w:tab w:val="left" w:pos="5040" w:leader="none"/>
          <w:tab w:val="left" w:pos="7200" w:leader="none"/>
        </w:tabs>
        <w:ind w:start="720" w:end="749"/>
        <w:jc w:val="both"/>
        <w:rPr>
          <w:spacing w:val="-3"/>
          <w:sz w:val="26"/>
        </w:rPr>
      </w:pPr>
      <w:r>
        <w:rPr>
          <w:spacing w:val="-3"/>
          <w:sz w:val="26"/>
        </w:rPr>
      </w:r>
    </w:p>
    <w:p>
      <w:pPr>
        <w:pStyle w:val="Normal"/>
        <w:tabs>
          <w:tab w:val="left" w:pos="720" w:leader="none"/>
          <w:tab w:val="left" w:pos="1440" w:leader="none"/>
          <w:tab w:val="left" w:pos="5040" w:leader="none"/>
          <w:tab w:val="left" w:pos="7200" w:leader="none"/>
        </w:tabs>
        <w:ind w:start="720" w:end="749"/>
        <w:jc w:val="both"/>
        <w:rPr>
          <w:spacing w:val="-3"/>
          <w:sz w:val="26"/>
        </w:rPr>
      </w:pPr>
      <w:r>
        <w:rPr>
          <w:spacing w:val="-3"/>
          <w:sz w:val="26"/>
        </w:rPr>
        <w:tab/>
        <w:t>WHEREAS, this Board of Directors has determined to sell all of the common stock of PGE and to cause PGH to sell all of the capital stock of PGH II, and in connection therewith the Company desires to enter into a Stock Purchase Agreement; and</w:t>
      </w:r>
    </w:p>
    <w:p>
      <w:pPr>
        <w:pStyle w:val="Normal"/>
        <w:tabs>
          <w:tab w:val="left" w:pos="720" w:leader="none"/>
          <w:tab w:val="left" w:pos="1440" w:leader="none"/>
          <w:tab w:val="left" w:pos="5040" w:leader="none"/>
          <w:tab w:val="left" w:pos="7200" w:leader="none"/>
        </w:tabs>
        <w:ind w:start="720" w:end="749"/>
        <w:jc w:val="both"/>
        <w:rPr>
          <w:spacing w:val="-3"/>
          <w:sz w:val="26"/>
        </w:rPr>
      </w:pPr>
      <w:r>
        <w:rPr>
          <w:spacing w:val="-3"/>
          <w:sz w:val="26"/>
        </w:rPr>
      </w:r>
    </w:p>
    <w:p>
      <w:pPr>
        <w:pStyle w:val="Normal"/>
        <w:tabs>
          <w:tab w:val="left" w:pos="720" w:leader="none"/>
          <w:tab w:val="left" w:pos="1440" w:leader="none"/>
          <w:tab w:val="left" w:pos="5040" w:leader="none"/>
          <w:tab w:val="left" w:pos="7200" w:leader="none"/>
        </w:tabs>
        <w:ind w:start="720" w:end="749"/>
        <w:jc w:val="both"/>
        <w:rPr>
          <w:spacing w:val="-3"/>
          <w:sz w:val="26"/>
        </w:rPr>
      </w:pPr>
      <w:r>
        <w:rPr>
          <w:spacing w:val="-3"/>
          <w:sz w:val="26"/>
        </w:rPr>
        <w:tab/>
        <w:t>WHEREAS, this Board of Directors has received an opinion from Credit Suisse First Boston Corporation that the proposed divestiture is fair to the Company from a financial point of view;</w:t>
      </w:r>
    </w:p>
    <w:p>
      <w:pPr>
        <w:pStyle w:val="Normal"/>
        <w:tabs>
          <w:tab w:val="left" w:pos="720" w:leader="none"/>
          <w:tab w:val="left" w:pos="1440" w:leader="none"/>
          <w:tab w:val="left" w:pos="5040" w:leader="none"/>
          <w:tab w:val="left" w:pos="7200" w:leader="none"/>
        </w:tabs>
        <w:ind w:start="720" w:end="749"/>
        <w:jc w:val="both"/>
        <w:rPr>
          <w:spacing w:val="-3"/>
          <w:sz w:val="26"/>
        </w:rPr>
      </w:pPr>
      <w:r>
        <w:rPr>
          <w:spacing w:val="-3"/>
          <w:sz w:val="26"/>
        </w:rPr>
      </w:r>
    </w:p>
    <w:p>
      <w:pPr>
        <w:pStyle w:val="Normal"/>
        <w:tabs>
          <w:tab w:val="left" w:pos="720" w:leader="none"/>
          <w:tab w:val="left" w:pos="1440" w:leader="none"/>
          <w:tab w:val="left" w:pos="5040" w:leader="none"/>
          <w:tab w:val="left" w:pos="7200" w:leader="none"/>
        </w:tabs>
        <w:ind w:start="720" w:end="749"/>
        <w:jc w:val="both"/>
        <w:rPr/>
      </w:pPr>
      <w:r>
        <w:rPr>
          <w:b/>
          <w:spacing w:val="-3"/>
          <w:sz w:val="26"/>
        </w:rPr>
        <w:tab/>
      </w:r>
      <w:r>
        <w:rPr>
          <w:spacing w:val="-3"/>
          <w:sz w:val="26"/>
        </w:rPr>
        <w:t>NOW, THEREFORE, IT IS RESOLVED, that this Board of Directors hereby authorizes and approves in all respects the divestiture of all of the capital stock of PGE and PGH II owned directly or indirectly by the Company to Northwest Energy Corporation, an Oregon corporation formed for the purpose of holding all of the common stock of each of Northwest Natural Gas Company and PGE, on substantially the terms set forth in the Stock Purchase Agreement (the “Stock Purchase Agreement”) on substantially the terms described to this Board of Directors, which divestiture may include the sale and delivery by the Company of all of the outstanding common stock of PGE to Enron NW Assets pursuant to the exercise by Enron NW Assets of the PGE Option and the subsequent sale and delivery by Enron NW Assets of such common stock of PGE to Northwest Energy Corporation pursuant to  the Stock Purchase Agreement;</w:t>
      </w:r>
    </w:p>
    <w:p>
      <w:pPr>
        <w:pStyle w:val="Normal"/>
        <w:tabs>
          <w:tab w:val="left" w:pos="720" w:leader="none"/>
          <w:tab w:val="left" w:pos="1440" w:leader="none"/>
          <w:tab w:val="left" w:pos="5040" w:leader="none"/>
          <w:tab w:val="left" w:pos="7200" w:leader="none"/>
        </w:tabs>
        <w:ind w:start="720" w:end="749"/>
        <w:jc w:val="both"/>
        <w:rPr>
          <w:spacing w:val="-3"/>
          <w:sz w:val="26"/>
        </w:rPr>
      </w:pPr>
      <w:r>
        <w:rPr>
          <w:spacing w:val="-3"/>
          <w:sz w:val="26"/>
        </w:rPr>
      </w:r>
    </w:p>
    <w:p>
      <w:pPr>
        <w:pStyle w:val="Normal"/>
        <w:tabs>
          <w:tab w:val="left" w:pos="720" w:leader="none"/>
          <w:tab w:val="left" w:pos="1440" w:leader="none"/>
          <w:tab w:val="left" w:pos="5040" w:leader="none"/>
          <w:tab w:val="left" w:pos="7200" w:leader="none"/>
        </w:tabs>
        <w:ind w:start="720" w:end="749"/>
        <w:jc w:val="both"/>
        <w:rPr>
          <w:spacing w:val="-3"/>
          <w:sz w:val="26"/>
        </w:rPr>
      </w:pPr>
      <w:r>
        <w:rPr>
          <w:spacing w:val="-3"/>
          <w:sz w:val="26"/>
        </w:rPr>
        <w:tab/>
        <w:t xml:space="preserve">RESOLVED FURTHER, that all actions heretofore taken by officers and employees of the Company in connection with the divestiture process and negotiation of the Stock Purchase Agreement are hereby ratified, confirmed, and approved in all respects; </w:t>
      </w:r>
    </w:p>
    <w:p>
      <w:pPr>
        <w:pStyle w:val="Normal"/>
        <w:tabs>
          <w:tab w:val="left" w:pos="720" w:leader="none"/>
          <w:tab w:val="left" w:pos="1440" w:leader="none"/>
          <w:tab w:val="left" w:pos="5040" w:leader="none"/>
          <w:tab w:val="left" w:pos="7200" w:leader="none"/>
        </w:tabs>
        <w:ind w:start="720" w:end="749"/>
        <w:jc w:val="both"/>
        <w:rPr>
          <w:spacing w:val="-3"/>
          <w:sz w:val="26"/>
        </w:rPr>
      </w:pPr>
      <w:r>
        <w:rPr>
          <w:spacing w:val="-3"/>
          <w:sz w:val="26"/>
        </w:rPr>
      </w:r>
    </w:p>
    <w:p>
      <w:pPr>
        <w:pStyle w:val="Normal"/>
        <w:tabs>
          <w:tab w:val="left" w:pos="720" w:leader="none"/>
          <w:tab w:val="left" w:pos="1440" w:leader="none"/>
          <w:tab w:val="left" w:pos="5040" w:leader="none"/>
          <w:tab w:val="left" w:pos="7200" w:leader="none"/>
        </w:tabs>
        <w:ind w:start="720" w:end="749"/>
        <w:jc w:val="both"/>
        <w:rPr>
          <w:spacing w:val="-3"/>
          <w:sz w:val="26"/>
        </w:rPr>
      </w:pPr>
      <w:r>
        <w:rPr>
          <w:spacing w:val="-3"/>
          <w:sz w:val="26"/>
        </w:rPr>
        <w:tab/>
        <w:t xml:space="preserve">RESOLVED FURTHER, that the form, terms, and provisions of the Stock Purchase Agreement be, and the same hereby are, approved in all respects, and that the Chairman and Chief Executive Officer, any Vice Chairman, the President, any Vice President, and any Managing Director of the Company be, and each of them acting alone hereby is, authorized, empowered, and directed to execute and deliver the Stock Purchase Agreement and any other agreements ancillary thereto, including without limitation, the Securityholders and Registration Rights Agreement (substantially in the form attached as an Exhibit to the Stock Purchase Agreement and substantially as described to this Board of Directors), for and in the name and on behalf of the Company, with such changes therein and modifications thereto as the officer executing the same shall in his sole discretion deem necessary or advisable, the execution thereof by such officer to be conclusive evidence of such approval; </w:t>
      </w:r>
    </w:p>
    <w:p>
      <w:pPr>
        <w:pStyle w:val="Normal"/>
        <w:tabs>
          <w:tab w:val="left" w:pos="720" w:leader="none"/>
          <w:tab w:val="left" w:pos="1440" w:leader="none"/>
          <w:tab w:val="left" w:pos="5040" w:leader="none"/>
          <w:tab w:val="left" w:pos="7200" w:leader="none"/>
        </w:tabs>
        <w:ind w:start="720" w:end="749"/>
        <w:jc w:val="both"/>
        <w:rPr>
          <w:spacing w:val="-3"/>
          <w:sz w:val="26"/>
        </w:rPr>
      </w:pPr>
      <w:r>
        <w:rPr>
          <w:spacing w:val="-3"/>
          <w:sz w:val="26"/>
        </w:rPr>
      </w:r>
    </w:p>
    <w:p>
      <w:pPr>
        <w:pStyle w:val="Normal"/>
        <w:tabs>
          <w:tab w:val="left" w:pos="720" w:leader="none"/>
          <w:tab w:val="left" w:pos="1440" w:leader="none"/>
          <w:tab w:val="left" w:pos="5040" w:leader="none"/>
          <w:tab w:val="left" w:pos="7200" w:leader="none"/>
        </w:tabs>
        <w:ind w:start="720" w:end="749"/>
        <w:jc w:val="both"/>
        <w:rPr>
          <w:spacing w:val="-3"/>
          <w:sz w:val="26"/>
        </w:rPr>
      </w:pPr>
      <w:r>
        <w:rPr>
          <w:spacing w:val="-3"/>
          <w:sz w:val="26"/>
        </w:rPr>
        <w:tab/>
        <w:t>RESOLVED FURTHER, that the Chairman and Chief Executive Officer, any Vice Chairman, the President, any Vice President, and any Managing Director of the Company be, and each of them acting alone hereby is, authorized, empowered, and directed to execute and deliver the Stock Purchase Agreement and any other agreements ancillary thereto, including without limitation, the Securityholders and Registration Rights Agreement (substantially in the form attached as an Exhibit to the Stock Purchase Agreement and substantially as described to this Board of Directors), for and in the name and on behalf of the Company in its capacity as the sole member of Enron Finance Management, LLC, acting on behalf of Enron NW Assets in its capacity as Class A and Managing Member of Enron NW Assets;</w:t>
      </w:r>
    </w:p>
    <w:p>
      <w:pPr>
        <w:pStyle w:val="Normal"/>
        <w:tabs>
          <w:tab w:val="left" w:pos="720" w:leader="none"/>
          <w:tab w:val="left" w:pos="1440" w:leader="none"/>
          <w:tab w:val="left" w:pos="5040" w:leader="none"/>
          <w:tab w:val="left" w:pos="7200" w:leader="none"/>
        </w:tabs>
        <w:ind w:start="720" w:end="749"/>
        <w:jc w:val="both"/>
        <w:rPr>
          <w:spacing w:val="-3"/>
          <w:sz w:val="26"/>
        </w:rPr>
      </w:pPr>
      <w:r>
        <w:rPr>
          <w:spacing w:val="-3"/>
          <w:sz w:val="26"/>
        </w:rPr>
      </w:r>
    </w:p>
    <w:p>
      <w:pPr>
        <w:pStyle w:val="Normal"/>
        <w:ind w:firstLine="720" w:start="720" w:end="749"/>
        <w:jc w:val="both"/>
        <w:rPr/>
      </w:pPr>
      <w:r>
        <w:rPr>
          <w:smallCaps/>
          <w:sz w:val="26"/>
        </w:rPr>
        <w:t xml:space="preserve">RESOLVED FURTHER, </w:t>
      </w:r>
      <w:r>
        <w:rPr>
          <w:spacing w:val="-3"/>
          <w:sz w:val="26"/>
        </w:rPr>
        <w:t>that the proper officers of the Company be, and each of them hereby is, authorized, empowered, and directed to take any and all such further action necessary to consummate the transactions contemplated by the Stock Purchase Agreement, including any filings with governmental authorities and including any actions taken on behalf of the Company in its capacity as the sole member of Enron Finance Management, LLC acting on behalf of Enron NW Assets in its capacity as Class A and Managing Member of Enron NW Assets; and</w:t>
      </w:r>
    </w:p>
    <w:p>
      <w:pPr>
        <w:pStyle w:val="Normal"/>
        <w:tabs>
          <w:tab w:val="left" w:pos="720" w:leader="none"/>
          <w:tab w:val="left" w:pos="1440" w:leader="none"/>
          <w:tab w:val="left" w:pos="5040" w:leader="none"/>
          <w:tab w:val="left" w:pos="7200" w:leader="none"/>
        </w:tabs>
        <w:ind w:start="720" w:end="749"/>
        <w:jc w:val="both"/>
        <w:rPr>
          <w:spacing w:val="-3"/>
          <w:sz w:val="26"/>
        </w:rPr>
      </w:pPr>
      <w:r>
        <w:rPr>
          <w:spacing w:val="-3"/>
          <w:sz w:val="26"/>
        </w:rPr>
      </w:r>
    </w:p>
    <w:p>
      <w:pPr>
        <w:pStyle w:val="Normal"/>
        <w:tabs>
          <w:tab w:val="left" w:pos="720" w:leader="none"/>
          <w:tab w:val="left" w:pos="1440" w:leader="none"/>
          <w:tab w:val="left" w:pos="5040" w:leader="none"/>
          <w:tab w:val="left" w:pos="7200" w:leader="none"/>
        </w:tabs>
        <w:ind w:start="720" w:end="749"/>
        <w:jc w:val="both"/>
        <w:rPr/>
      </w:pPr>
      <w:r>
        <w:rPr>
          <w:b/>
          <w:spacing w:val="-3"/>
          <w:sz w:val="26"/>
        </w:rPr>
        <w:tab/>
      </w:r>
      <w:r>
        <w:rPr>
          <w:spacing w:val="-3"/>
          <w:sz w:val="26"/>
        </w:rPr>
        <w:t>RESOLVED FURTHER, that the proper officers of the Company and its counsel be, and each of them hereby is, authorized, empowered, and directed (any one of them acting alone) to take any and all such further action, to amend, execute, and deliver all such further instruments and documents, for and in the name and on behalf of the Company, Enron Finance Management, LLC or Enron NW Assets under its corporate seal or otherwise, and to pay all such expenses as in their discretion appear to be necessary, proper, or advisable to carry into effect the purposes and intentions of this and each of the foregoing resolutions.</w:t>
      </w:r>
    </w:p>
    <w:p>
      <w:pPr>
        <w:pStyle w:val="BodyTextIndent"/>
        <w:rPr>
          <w:spacing w:val="-3"/>
          <w:sz w:val="26"/>
        </w:rPr>
      </w:pPr>
      <w:r>
        <w:rPr>
          <w:spacing w:val="-3"/>
          <w:sz w:val="26"/>
        </w:rPr>
      </w:r>
    </w:p>
    <w:p>
      <w:pPr>
        <w:pStyle w:val="BodyTextIndent"/>
        <w:rPr/>
      </w:pPr>
      <w:r>
        <w:rPr/>
        <w:t>There being no further business to come before the Board, the meeting was adjourned at 3:36 p.m., C.D.T.</w:t>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ind w:firstLine="720" w:start="3600" w:end="0"/>
        <w:jc w:val="both"/>
        <w:rPr>
          <w:sz w:val="26"/>
        </w:rPr>
      </w:pPr>
      <w:r>
        <w:rPr>
          <w:sz w:val="26"/>
        </w:rPr>
        <w:t>_________________________________</w:t>
      </w:r>
    </w:p>
    <w:p>
      <w:pPr>
        <w:pStyle w:val="Normal"/>
        <w:ind w:firstLine="720" w:start="2160" w:end="0"/>
        <w:jc w:val="both"/>
        <w:rPr>
          <w:sz w:val="26"/>
        </w:rPr>
      </w:pPr>
      <w:r>
        <w:rPr>
          <w:sz w:val="26"/>
        </w:rPr>
        <w:tab/>
        <w:tab/>
        <w:t>Secretary</w:t>
      </w:r>
    </w:p>
    <w:p>
      <w:pPr>
        <w:pStyle w:val="Normal"/>
        <w:jc w:val="both"/>
        <w:rPr>
          <w:sz w:val="26"/>
        </w:rPr>
      </w:pPr>
      <w:r>
        <w:rPr>
          <w:sz w:val="26"/>
        </w:rPr>
      </w:r>
    </w:p>
    <w:p>
      <w:pPr>
        <w:pStyle w:val="Normal"/>
        <w:jc w:val="both"/>
        <w:rPr>
          <w:sz w:val="26"/>
        </w:rPr>
      </w:pPr>
      <w:r>
        <w:rPr>
          <w:sz w:val="26"/>
        </w:rPr>
        <w:t>APPROVED:</w:t>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t>__________________________________</w:t>
      </w:r>
    </w:p>
    <w:p>
      <w:pPr>
        <w:pStyle w:val="Heading8"/>
        <w:ind w:hanging="0" w:start="0"/>
        <w:rPr/>
      </w:pPr>
      <w:r>
        <w:rPr/>
        <w:t>Chairman</w:t>
      </w:r>
    </w:p>
    <w:p>
      <w:pPr>
        <w:pStyle w:val="Normal"/>
        <w:jc w:val="both"/>
        <w:rPr>
          <w:sz w:val="26"/>
        </w:rPr>
      </w:pPr>
      <w:r>
        <w:rPr>
          <w:sz w:val="26"/>
        </w:rPr>
      </w:r>
    </w:p>
    <w:p>
      <w:pPr>
        <w:pStyle w:val="Normal"/>
        <w:jc w:val="both"/>
        <w:rPr>
          <w:sz w:val="26"/>
        </w:rPr>
      </w:pPr>
      <w:r>
        <w:rPr>
          <w:sz w:val="26"/>
        </w:rPr>
      </w:r>
    </w:p>
    <w:p>
      <w:pPr>
        <w:pStyle w:val="Normal"/>
        <w:jc w:val="both"/>
        <w:rPr>
          <w:sz w:val="18"/>
        </w:rPr>
      </w:pPr>
      <w:r>
        <w:rPr>
          <w:sz w:val="18"/>
        </w:rPr>
        <w:fldChar w:fldCharType="begin"/>
      </w:r>
      <w:r>
        <w:rPr>
          <w:sz w:val="18"/>
        </w:rPr>
        <w:instrText xml:space="preserve"> FILENAME \p </w:instrText>
      </w:r>
      <w:r>
        <w:rPr>
          <w:sz w:val="18"/>
        </w:rPr>
        <w:fldChar w:fldCharType="separate"/>
      </w:r>
      <w:r>
        <w:rPr>
          <w:sz w:val="18"/>
        </w:rPr>
        <w:t>/mnt/main-storage/datasets/enron-docs/doc/100501sp.doc</w:t>
      </w:r>
      <w:r>
        <w:rPr>
          <w:sz w:val="18"/>
        </w:rPr>
        <w:fldChar w:fldCharType="end"/>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4">
    <w:name w:val="heading 4"/>
    <w:basedOn w:val="Normal"/>
    <w:next w:val="Normal"/>
    <w:qFormat/>
    <w:pPr>
      <w:keepNext w:val="true"/>
      <w:numPr>
        <w:ilvl w:val="3"/>
        <w:numId w:val="1"/>
      </w:numPr>
      <w:outlineLvl w:val="3"/>
    </w:pPr>
    <w:rPr>
      <w:sz w:val="26"/>
      <w:szCs w:val="20"/>
    </w:rPr>
  </w:style>
  <w:style w:type="paragraph" w:styleId="Heading5">
    <w:name w:val="heading 5"/>
    <w:basedOn w:val="Normal"/>
    <w:next w:val="Normal"/>
    <w:qFormat/>
    <w:pPr>
      <w:keepNext w:val="true"/>
      <w:numPr>
        <w:ilvl w:val="4"/>
        <w:numId w:val="1"/>
      </w:numPr>
      <w:ind w:hanging="0" w:start="1440" w:end="0"/>
      <w:jc w:val="both"/>
      <w:outlineLvl w:val="4"/>
    </w:pPr>
    <w:rPr>
      <w:sz w:val="26"/>
      <w:szCs w:val="20"/>
    </w:rPr>
  </w:style>
  <w:style w:type="paragraph" w:styleId="Heading8">
    <w:name w:val="heading 8"/>
    <w:basedOn w:val="Normal"/>
    <w:next w:val="Normal"/>
    <w:qFormat/>
    <w:pPr>
      <w:keepNext w:val="true"/>
      <w:numPr>
        <w:ilvl w:val="7"/>
        <w:numId w:val="1"/>
      </w:numPr>
      <w:jc w:val="both"/>
      <w:outlineLvl w:val="7"/>
    </w:pPr>
    <w:rPr>
      <w:sz w:val="26"/>
      <w:szCs w:val="20"/>
    </w:rPr>
  </w:style>
  <w:style w:type="character" w:styleId="WW8Num1z0">
    <w:name w:val="WW8Num1z0"/>
    <w:qFormat/>
    <w:rPr>
      <w:sz w:val="26"/>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50" w:leader="none"/>
      </w:tabs>
      <w:jc w:val="both"/>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z w:val="26"/>
      <w:szCs w:val="20"/>
    </w:rPr>
  </w:style>
  <w:style w:type="paragraph" w:styleId="BlockText">
    <w:name w:val="Block Text"/>
    <w:basedOn w:val="Normal"/>
    <w:qFormat/>
    <w:pPr>
      <w:ind w:firstLine="720" w:start="720" w:end="720"/>
      <w:jc w:val="both"/>
    </w:pPr>
    <w:rPr>
      <w:szCs w:val="20"/>
    </w:rPr>
  </w:style>
  <w:style w:type="paragraph" w:styleId="VEBodyText">
    <w:name w:val="VE Body Text"/>
    <w:basedOn w:val="Normal"/>
    <w:qFormat/>
    <w:pPr>
      <w:spacing w:before="0" w:after="240"/>
      <w:jc w:val="both"/>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2001-10-10T17:20:00Z</dcterms:created>
  <dc:creator>kjohnso</dc:creator>
  <dc:description/>
  <dc:language>en-CA</dc:language>
  <cp:lastModifiedBy>kjohnso</cp:lastModifiedBy>
  <cp:lastPrinted>2001-10-10T10:14:00Z</cp:lastPrinted>
  <dcterms:modified xsi:type="dcterms:W3CDTF">2001-10-10T18:35:00Z</dcterms:modified>
  <cp:revision>5</cp:revision>
  <dc:subject/>
  <dc:title>DRAFT</dc:title>
</cp:coreProperties>
</file>