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Western States Strategic Plan</w:t>
      </w:r>
    </w:p>
    <w:p>
      <w:pPr>
        <w:pStyle w:val="Normal"/>
        <w:jc w:val="center"/>
        <w:rPr>
          <w:rFonts w:ascii="Arial" w:hAnsi="Arial" w:cs="Arial"/>
          <w:b/>
        </w:rPr>
      </w:pPr>
      <w:r>
        <w:rPr>
          <w:rFonts w:cs="Arial" w:ascii="Arial" w:hAnsi="Arial"/>
          <w:b/>
        </w:rPr>
      </w:r>
    </w:p>
    <w:p>
      <w:pPr>
        <w:pStyle w:val="Normal"/>
        <w:rPr>
          <w:rFonts w:ascii="Arial" w:hAnsi="Arial" w:cs="Arial"/>
        </w:rPr>
      </w:pPr>
      <w:r>
        <w:rPr>
          <w:rFonts w:cs="Arial" w:ascii="Arial" w:hAnsi="Arial"/>
        </w:rPr>
        <w:t>Our actions in the Western States (other than California) for the duration of 2000 and in 2001 will be driven by the following:</w:t>
      </w:r>
    </w:p>
    <w:p>
      <w:pPr>
        <w:pStyle w:val="Normal"/>
        <w:rPr>
          <w:rFonts w:ascii="Arial" w:hAnsi="Arial" w:cs="Arial"/>
        </w:rPr>
      </w:pPr>
      <w:r>
        <w:rPr>
          <w:rFonts w:cs="Arial" w:ascii="Arial" w:hAnsi="Arial"/>
        </w:rPr>
      </w:r>
    </w:p>
    <w:p>
      <w:pPr>
        <w:pStyle w:val="Normal"/>
        <w:numPr>
          <w:ilvl w:val="0"/>
          <w:numId w:val="2"/>
        </w:numPr>
        <w:tabs>
          <w:tab w:val="clear" w:pos="720"/>
          <w:tab w:val="left" w:pos="900" w:leader="none"/>
        </w:tabs>
        <w:rPr>
          <w:rFonts w:ascii="Arial" w:hAnsi="Arial" w:cs="Arial"/>
        </w:rPr>
      </w:pPr>
      <w:r>
        <w:rPr>
          <w:rFonts w:cs="Arial" w:ascii="Arial" w:hAnsi="Arial"/>
        </w:rPr>
        <w:t>We understand the contribution of the West Desk and wholesale markets to Enron’s overall financial performance.  Accordingly, we will take actions necessary to support maintenance/improvement of the wholesale markets such as:  (a) participating in resolution of remaining RTO issues; and (b) working on reliability issues in issues surrounding the California market.</w:t>
      </w:r>
    </w:p>
    <w:p>
      <w:pPr>
        <w:pStyle w:val="Normal"/>
        <w:rPr>
          <w:rFonts w:ascii="Arial" w:hAnsi="Arial" w:cs="Arial"/>
        </w:rPr>
      </w:pPr>
      <w:r>
        <w:rPr>
          <w:rFonts w:cs="Arial" w:ascii="Arial" w:hAnsi="Arial"/>
        </w:rPr>
      </w:r>
    </w:p>
    <w:p>
      <w:pPr>
        <w:pStyle w:val="Normal"/>
        <w:numPr>
          <w:ilvl w:val="0"/>
          <w:numId w:val="2"/>
        </w:numPr>
        <w:tabs>
          <w:tab w:val="clear" w:pos="720"/>
          <w:tab w:val="left" w:pos="900" w:leader="none"/>
        </w:tabs>
        <w:rPr>
          <w:rFonts w:ascii="Arial" w:hAnsi="Arial" w:cs="Arial"/>
        </w:rPr>
      </w:pPr>
      <w:r>
        <w:rPr>
          <w:rFonts w:cs="Arial" w:ascii="Arial" w:hAnsi="Arial"/>
        </w:rPr>
        <w:t>We understand the importance of up-to-date and accurate information.  Accordingly, we will provide EES with information necessary to support their retail curves.  We will also provide ENA with information of interest, including integrated resource planning documents, reports on reliability concerns, etc.</w:t>
      </w:r>
    </w:p>
    <w:p>
      <w:pPr>
        <w:pStyle w:val="Normal"/>
        <w:rPr>
          <w:rFonts w:ascii="Arial" w:hAnsi="Arial" w:cs="Arial"/>
        </w:rPr>
      </w:pPr>
      <w:r>
        <w:rPr>
          <w:rFonts w:cs="Arial" w:ascii="Arial" w:hAnsi="Arial"/>
        </w:rPr>
      </w:r>
    </w:p>
    <w:p>
      <w:pPr>
        <w:pStyle w:val="Normal"/>
        <w:numPr>
          <w:ilvl w:val="0"/>
          <w:numId w:val="2"/>
        </w:numPr>
        <w:tabs>
          <w:tab w:val="clear" w:pos="720"/>
          <w:tab w:val="left" w:pos="900" w:leader="none"/>
        </w:tabs>
        <w:rPr>
          <w:rFonts w:ascii="Arial" w:hAnsi="Arial" w:cs="Arial"/>
        </w:rPr>
      </w:pPr>
      <w:r>
        <w:rPr>
          <w:rFonts w:cs="Arial" w:ascii="Arial" w:hAnsi="Arial"/>
        </w:rPr>
        <w:t>We will take action to protect EES’ existing book—only to the extent that our actions have a high likelihood of success or there is a high value/cost or risk/cost ratio.</w:t>
      </w:r>
    </w:p>
    <w:p>
      <w:pPr>
        <w:pStyle w:val="Normal"/>
        <w:rPr>
          <w:rFonts w:ascii="Arial" w:hAnsi="Arial" w:cs="Arial"/>
        </w:rPr>
      </w:pPr>
      <w:r>
        <w:rPr>
          <w:rFonts w:cs="Arial" w:ascii="Arial" w:hAnsi="Arial"/>
        </w:rPr>
      </w:r>
    </w:p>
    <w:p>
      <w:pPr>
        <w:pStyle w:val="Normal"/>
        <w:numPr>
          <w:ilvl w:val="0"/>
          <w:numId w:val="2"/>
        </w:numPr>
        <w:tabs>
          <w:tab w:val="clear" w:pos="720"/>
          <w:tab w:val="left" w:pos="900" w:leader="none"/>
        </w:tabs>
        <w:rPr>
          <w:rFonts w:ascii="Arial" w:hAnsi="Arial" w:cs="Arial"/>
        </w:rPr>
      </w:pPr>
      <w:r>
        <w:rPr>
          <w:rFonts w:cs="Arial" w:ascii="Arial" w:hAnsi="Arial"/>
        </w:rPr>
        <w:t>We will support existing and potential ENA transactions, such as power plant development.</w:t>
      </w:r>
    </w:p>
    <w:p>
      <w:pPr>
        <w:pStyle w:val="Normal"/>
        <w:rPr>
          <w:rFonts w:ascii="Arial" w:hAnsi="Arial" w:cs="Arial"/>
        </w:rPr>
      </w:pPr>
      <w:r>
        <w:rPr>
          <w:rFonts w:cs="Arial" w:ascii="Arial" w:hAnsi="Arial"/>
        </w:rPr>
      </w:r>
    </w:p>
    <w:p>
      <w:pPr>
        <w:pStyle w:val="Normal"/>
        <w:numPr>
          <w:ilvl w:val="0"/>
          <w:numId w:val="2"/>
        </w:numPr>
        <w:tabs>
          <w:tab w:val="clear" w:pos="720"/>
          <w:tab w:val="left" w:pos="900" w:leader="none"/>
        </w:tabs>
        <w:rPr>
          <w:rFonts w:ascii="Arial" w:hAnsi="Arial" w:cs="Arial"/>
        </w:rPr>
      </w:pPr>
      <w:r>
        <w:rPr>
          <w:rFonts w:cs="Arial" w:ascii="Arial" w:hAnsi="Arial"/>
        </w:rPr>
        <w:t xml:space="preserve">We recognize the value of good relationships with our customers, such as Nevada Power Company and municipal utilities.  Thus, we will work to leverage our regulatory knowledge and relationships to build (rather than burn) bridges with the utilities.  </w:t>
      </w:r>
    </w:p>
    <w:p>
      <w:pPr>
        <w:pStyle w:val="Normal"/>
        <w:rPr>
          <w:rFonts w:ascii="Arial" w:hAnsi="Arial" w:cs="Arial"/>
        </w:rPr>
      </w:pPr>
      <w:r>
        <w:rPr>
          <w:rFonts w:cs="Arial" w:ascii="Arial" w:hAnsi="Arial"/>
        </w:rPr>
      </w:r>
    </w:p>
    <w:p>
      <w:pPr>
        <w:pStyle w:val="Footer"/>
        <w:tabs>
          <w:tab w:val="clear" w:pos="4320"/>
          <w:tab w:val="clear" w:pos="8640"/>
          <w:tab w:val="left" w:pos="540" w:leader="none"/>
        </w:tabs>
        <w:rPr>
          <w:rFonts w:ascii="Arial" w:hAnsi="Arial" w:cs="Arial"/>
          <w:sz w:val="20"/>
        </w:rPr>
      </w:pPr>
      <w:r>
        <w:rPr>
          <w:rFonts w:cs="Arial"/>
          <w:sz w:val="20"/>
        </w:rPr>
      </w:r>
    </w:p>
    <w:p>
      <w:pPr>
        <w:pStyle w:val="Heading4"/>
        <w:ind w:hanging="0" w:start="0"/>
        <w:jc w:val="center"/>
        <w:rPr>
          <w:sz w:val="20"/>
          <w:u w:val="none"/>
        </w:rPr>
      </w:pPr>
      <w:r>
        <w:rPr>
          <w:sz w:val="20"/>
          <w:u w:val="none"/>
        </w:rPr>
        <w:t>ARIZONA</w:t>
      </w:r>
    </w:p>
    <w:p>
      <w:pPr>
        <w:pStyle w:val="Normal"/>
        <w:numPr>
          <w:ilvl w:val="0"/>
          <w:numId w:val="0"/>
        </w:numPr>
        <w:outlineLvl w:val="0"/>
        <w:rPr>
          <w:rFonts w:ascii="Arial" w:hAnsi="Arial" w:cs="Arial"/>
          <w:sz w:val="20"/>
          <w:u w:val="none"/>
        </w:rPr>
      </w:pPr>
      <w:r>
        <w:rPr>
          <w:rFonts w:cs="Arial" w:ascii="Arial" w:hAnsi="Arial"/>
          <w:sz w:val="20"/>
          <w:u w:val="none"/>
        </w:rPr>
      </w:r>
    </w:p>
    <w:p>
      <w:pPr>
        <w:pStyle w:val="Normal"/>
        <w:rPr/>
      </w:pPr>
      <w:r>
        <w:rPr>
          <w:rFonts w:cs="Arial" w:ascii="Arial" w:hAnsi="Arial"/>
          <w:u w:val="single"/>
        </w:rPr>
        <w:t>Overview</w:t>
      </w:r>
      <w:r>
        <w:rPr>
          <w:rFonts w:cs="Arial" w:ascii="Arial" w:hAnsi="Arial"/>
        </w:rPr>
        <w:t xml:space="preserve">.  The ACC has had a comprehensive restructuring order in place for its jurisdictional utilities for over one year.  In 1999 the ACC approved settlements for the major Arizona utilities that determined stranded costs, established the “shopping credits,” and provided a phase-in of direct access.  In 1999 the ACC also completed its restructuring rulemakings. </w:t>
      </w:r>
    </w:p>
    <w:p>
      <w:pPr>
        <w:pStyle w:val="Normal"/>
        <w:rPr>
          <w:rFonts w:ascii="Arial" w:hAnsi="Arial" w:cs="Arial"/>
        </w:rPr>
      </w:pPr>
      <w:r>
        <w:rPr>
          <w:rFonts w:cs="Arial" w:ascii="Arial" w:hAnsi="Arial"/>
        </w:rPr>
      </w:r>
    </w:p>
    <w:p>
      <w:pPr>
        <w:pStyle w:val="Normal"/>
        <w:rPr/>
      </w:pPr>
      <w:r>
        <w:rPr>
          <w:rFonts w:cs="Arial" w:ascii="Arial" w:hAnsi="Arial"/>
          <w:u w:val="single"/>
        </w:rPr>
        <w:t>Outside Resources</w:t>
      </w:r>
      <w:r>
        <w:rPr>
          <w:rFonts w:cs="Arial" w:ascii="Arial" w:hAnsi="Arial"/>
        </w:rPr>
        <w:t>.  Our outside counsel in Arizona is Larry Robertson, Munger &amp; Chadwick.</w:t>
      </w:r>
    </w:p>
    <w:p>
      <w:pPr>
        <w:pStyle w:val="Normal"/>
        <w:rPr>
          <w:rFonts w:ascii="Arial" w:hAnsi="Arial" w:cs="Arial"/>
        </w:rPr>
      </w:pPr>
      <w:r>
        <w:rPr>
          <w:rFonts w:cs="Arial" w:ascii="Arial" w:hAnsi="Arial"/>
        </w:rPr>
      </w:r>
    </w:p>
    <w:p>
      <w:pPr>
        <w:pStyle w:val="Heading2"/>
        <w:tabs>
          <w:tab w:val="clear" w:pos="540"/>
        </w:tabs>
        <w:ind w:hanging="0" w:start="0"/>
        <w:rPr/>
      </w:pPr>
      <w:r>
        <w:rPr>
          <w:sz w:val="20"/>
        </w:rPr>
        <w:t>Activities/Focus</w:t>
      </w:r>
      <w:r>
        <w:rPr>
          <w:sz w:val="20"/>
          <w:u w:val="none"/>
        </w:rPr>
        <w:t>.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 Lawner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 Delaney</w:t>
            </w:r>
          </w:p>
          <w:p>
            <w:pPr>
              <w:pStyle w:val="Normal"/>
              <w:rPr>
                <w:rFonts w:ascii="Arial" w:hAnsi="Arial" w:cs="Arial"/>
              </w:rPr>
            </w:pPr>
            <w:r>
              <w:rPr>
                <w:rFonts w:cs="Arial" w:ascii="Arial" w:hAnsi="Arial"/>
              </w:rPr>
              <w:t>M. Milner</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Maintain information flow to EES for purposes of maintain rate curves and alerting EES to business opportunities.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Complete appeal of ACC orders.  Participate in rate case or other proceedings on remand.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Monitor activities of SRP, and where appropriate participate in SRP board.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Monitor activities of AISA.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 S. McCubbin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Milner</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Support activities of ENA to develop generation in Arizona.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Assist Mid-Market as needed with transactions, </w:t>
            </w:r>
          </w:p>
          <w:p>
            <w:pPr>
              <w:pStyle w:val="Normal"/>
              <w:rPr>
                <w:rFonts w:ascii="Arial" w:hAnsi="Arial" w:cs="Arial"/>
              </w:rPr>
            </w:pPr>
            <w:r>
              <w:rPr>
                <w:rFonts w:cs="Arial" w:ascii="Arial" w:hAnsi="Arial"/>
              </w:rPr>
              <w:t>relationships, etc., with mining customers, coops., municipal utilities, etc., including potential PLR supply/asset management transactions.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4"/>
        <w:ind w:hanging="0" w:start="0"/>
        <w:jc w:val="center"/>
        <w:rPr>
          <w:sz w:val="20"/>
          <w:u w:val="none"/>
        </w:rPr>
      </w:pPr>
      <w:r>
        <w:rPr>
          <w:sz w:val="20"/>
          <w:u w:val="none"/>
        </w:rPr>
        <w:t>NEVADA</w:t>
      </w:r>
    </w:p>
    <w:p>
      <w:pPr>
        <w:pStyle w:val="Normal"/>
        <w:numPr>
          <w:ilvl w:val="0"/>
          <w:numId w:val="0"/>
        </w:numPr>
        <w:outlineLvl w:val="0"/>
        <w:rPr>
          <w:rFonts w:ascii="Arial" w:hAnsi="Arial" w:cs="Arial"/>
          <w:sz w:val="20"/>
          <w:u w:val="none"/>
        </w:rPr>
      </w:pPr>
      <w:r>
        <w:rPr>
          <w:rFonts w:cs="Arial" w:ascii="Arial" w:hAnsi="Arial"/>
          <w:sz w:val="20"/>
          <w:u w:val="none"/>
        </w:rPr>
      </w:r>
    </w:p>
    <w:p>
      <w:pPr>
        <w:pStyle w:val="Normal"/>
        <w:rPr/>
      </w:pPr>
      <w:r>
        <w:rPr>
          <w:rFonts w:cs="Arial" w:ascii="Arial" w:hAnsi="Arial"/>
          <w:u w:val="single"/>
        </w:rPr>
        <w:t>Overview</w:t>
      </w:r>
      <w:r>
        <w:rPr>
          <w:rFonts w:cs="Arial" w:ascii="Arial" w:hAnsi="Arial"/>
        </w:rPr>
        <w:t>.  Nevada adopted restructuring legislation in 1997 and 1999, and is continuing its effort to implement restructuring.  Settlement negotiations are ongoing on rate issues that are key to developing the PLR rate and the unbundled distribution rate.  We have reduced our level of activity in Nevada due to the acquisition of PGE by Sierra Pacific Resources, but intend to increase coverage and involvement in 2001.  This activity may include active participation in the 2001 legislative session, in which we expect restructuring will be revisited.</w:t>
      </w:r>
    </w:p>
    <w:p>
      <w:pPr>
        <w:pStyle w:val="Normal"/>
        <w:rPr>
          <w:rFonts w:ascii="Arial" w:hAnsi="Arial" w:cs="Arial"/>
        </w:rPr>
      </w:pPr>
      <w:r>
        <w:rPr>
          <w:rFonts w:cs="Arial" w:ascii="Arial" w:hAnsi="Arial"/>
        </w:rPr>
      </w:r>
    </w:p>
    <w:p>
      <w:pPr>
        <w:pStyle w:val="Normal"/>
        <w:rPr/>
      </w:pPr>
      <w:r>
        <w:rPr>
          <w:rFonts w:cs="Arial" w:ascii="Arial" w:hAnsi="Arial"/>
          <w:u w:val="single"/>
        </w:rPr>
        <w:t>Outside Counsel</w:t>
      </w:r>
      <w:r>
        <w:rPr>
          <w:rFonts w:cs="Arial" w:ascii="Arial" w:hAnsi="Arial"/>
        </w:rPr>
        <w:t>.  Our outside counsel in Nevada is John Frankovich, MacDonald Carrano. Our public affairs consultant and lobbyist is Sam McMullen, McMullen Strategic Group.</w:t>
      </w:r>
    </w:p>
    <w:p>
      <w:pPr>
        <w:pStyle w:val="Normal"/>
        <w:rPr>
          <w:rFonts w:ascii="Arial" w:hAnsi="Arial" w:cs="Arial"/>
        </w:rPr>
      </w:pPr>
      <w:r>
        <w:rPr>
          <w:rFonts w:cs="Arial" w:ascii="Arial" w:hAnsi="Arial"/>
        </w:rPr>
      </w:r>
    </w:p>
    <w:p>
      <w:pPr>
        <w:pStyle w:val="Heading2"/>
        <w:tabs>
          <w:tab w:val="clear" w:pos="540"/>
        </w:tabs>
        <w:ind w:hanging="0" w:start="0"/>
        <w:rPr/>
      </w:pPr>
      <w:r>
        <w:rPr>
          <w:sz w:val="20"/>
        </w:rPr>
        <w:t>Activities/Focus</w:t>
      </w:r>
      <w:r>
        <w:rPr>
          <w:sz w:val="20"/>
          <w:u w:val="none"/>
        </w:rPr>
        <w:t>.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J. Dasovich</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Maintain information flow to EES for purposes of maintain rate curves and alerting EES to business opportunities.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EES business development among key resort properties.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EES business opportunities re:  natural gas.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 Kaufman, S. McCubbin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Support activities of ENA to develop generation in Southern Nevada.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activities of ENA to renegotiate QF PPAs and participate in QF auction.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activities of ENA regarding PLR service.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Mid-Market as needed with transactions, relationships, etc., with mining customers, coops., municipal utilities, etc., including potential PLR supply/asset management transactions.</w:t>
            </w:r>
          </w:p>
        </w:tc>
      </w:tr>
    </w:tbl>
    <w:p>
      <w:pPr>
        <w:pStyle w:val="Normal"/>
        <w:rPr>
          <w:rFonts w:ascii="Arial" w:hAnsi="Arial" w:cs="Arial"/>
        </w:rPr>
      </w:pPr>
      <w:r>
        <w:rPr>
          <w:rFonts w:cs="Arial" w:ascii="Arial" w:hAnsi="Arial"/>
        </w:rPr>
      </w:r>
    </w:p>
    <w:p>
      <w:pPr>
        <w:pStyle w:val="Heading4"/>
        <w:ind w:hanging="0" w:start="0"/>
        <w:jc w:val="center"/>
        <w:rPr>
          <w:sz w:val="20"/>
          <w:u w:val="none"/>
        </w:rPr>
      </w:pPr>
      <w:r>
        <w:rPr>
          <w:sz w:val="20"/>
          <w:u w:val="none"/>
        </w:rPr>
        <w:t>NEW MEXICO</w:t>
      </w:r>
    </w:p>
    <w:p>
      <w:pPr>
        <w:pStyle w:val="Normal"/>
        <w:numPr>
          <w:ilvl w:val="0"/>
          <w:numId w:val="0"/>
        </w:numPr>
        <w:outlineLvl w:val="0"/>
        <w:rPr>
          <w:rFonts w:ascii="Arial" w:hAnsi="Arial" w:cs="Arial"/>
          <w:sz w:val="20"/>
          <w:u w:val="none"/>
        </w:rPr>
      </w:pPr>
      <w:r>
        <w:rPr>
          <w:rFonts w:cs="Arial" w:ascii="Arial" w:hAnsi="Arial"/>
          <w:sz w:val="20"/>
          <w:u w:val="none"/>
        </w:rPr>
      </w:r>
    </w:p>
    <w:p>
      <w:pPr>
        <w:pStyle w:val="Normal"/>
        <w:rPr/>
      </w:pPr>
      <w:r>
        <w:rPr>
          <w:rFonts w:cs="Arial" w:ascii="Arial" w:hAnsi="Arial"/>
          <w:u w:val="single"/>
        </w:rPr>
        <w:t>Overview</w:t>
      </w:r>
      <w:r>
        <w:rPr>
          <w:rFonts w:cs="Arial" w:ascii="Arial" w:hAnsi="Arial"/>
        </w:rPr>
        <w:t>.  In 1998, the New Mexico PUC adopted a customer choice program for natural gas.  In 1999, New Mexico adopted an electric restructuring statute.  In 2000, we have substantially reduced our level of activity in New Mexico.  However, we have substantial contacts in the state through both Leslie Lawner and Pat Keene.</w:t>
      </w:r>
    </w:p>
    <w:p>
      <w:pPr>
        <w:pStyle w:val="Normal"/>
        <w:rPr>
          <w:rFonts w:ascii="Arial" w:hAnsi="Arial" w:cs="Arial"/>
        </w:rPr>
      </w:pPr>
      <w:r>
        <w:rPr>
          <w:rFonts w:cs="Arial" w:ascii="Arial" w:hAnsi="Arial"/>
        </w:rPr>
      </w:r>
    </w:p>
    <w:p>
      <w:pPr>
        <w:pStyle w:val="Heading2"/>
        <w:tabs>
          <w:tab w:val="clear" w:pos="540"/>
        </w:tabs>
        <w:ind w:hanging="0" w:start="0"/>
        <w:rPr/>
      </w:pPr>
      <w:r>
        <w:rPr>
          <w:sz w:val="20"/>
        </w:rPr>
        <w:t>Outside Counsel</w:t>
      </w:r>
      <w:r>
        <w:rPr>
          <w:sz w:val="20"/>
          <w:u w:val="none"/>
        </w:rPr>
        <w:t>.  None.</w:t>
      </w:r>
    </w:p>
    <w:p>
      <w:pPr>
        <w:pStyle w:val="Normal"/>
        <w:rPr>
          <w:rFonts w:ascii="Arial" w:hAnsi="Arial" w:cs="Arial"/>
          <w:sz w:val="20"/>
          <w:u w:val="none"/>
        </w:rPr>
      </w:pPr>
      <w:r>
        <w:rPr>
          <w:rFonts w:cs="Arial" w:ascii="Arial" w:hAnsi="Arial"/>
          <w:sz w:val="20"/>
          <w:u w:val="none"/>
        </w:rPr>
      </w:r>
    </w:p>
    <w:p>
      <w:pPr>
        <w:pStyle w:val="Heading2"/>
        <w:tabs>
          <w:tab w:val="clear" w:pos="540"/>
        </w:tabs>
        <w:ind w:hanging="0" w:start="0"/>
        <w:rPr/>
      </w:pPr>
      <w:r>
        <w:rPr>
          <w:sz w:val="20"/>
        </w:rPr>
        <w:t>Activities/Focus</w:t>
      </w:r>
      <w:r>
        <w:rPr>
          <w:sz w:val="20"/>
          <w:u w:val="none"/>
        </w:rPr>
        <w:t>.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Maintain information flow to EES for purposes of maintain rate curves and alerting EES to business opportunities.</w:t>
            </w:r>
          </w:p>
          <w:p>
            <w:pPr>
              <w:pStyle w:val="Normal"/>
              <w:rPr>
                <w:rFonts w:ascii="Arial" w:hAnsi="Arial" w:cs="Arial"/>
              </w:rPr>
            </w:pPr>
            <w:r>
              <w:rPr>
                <w:rFonts w:cs="Arial" w:ascii="Arial" w:hAnsi="Arial"/>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 Lawner</w:t>
            </w:r>
          </w:p>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 Lawner</w:t>
            </w:r>
          </w:p>
          <w:p>
            <w:pPr>
              <w:pStyle w:val="Normal"/>
              <w:rPr>
                <w:rFonts w:ascii="Arial" w:hAnsi="Arial" w:cs="Arial"/>
              </w:rPr>
            </w:pPr>
            <w:r>
              <w:rPr>
                <w:rFonts w:cs="Arial" w:ascii="Arial" w:hAnsi="Arial"/>
              </w:rPr>
              <w:t>M. Milner</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Assist Mid-Market as needed with transactions, relationships, etc., with mining customers, coops., municipal utilities, etc., including potential PLR supply/asset management transactions.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ENA on an as-needed basis.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4"/>
        <w:ind w:hanging="0" w:start="0"/>
        <w:jc w:val="center"/>
        <w:rPr>
          <w:sz w:val="20"/>
          <w:u w:val="none"/>
        </w:rPr>
      </w:pPr>
      <w:r>
        <w:rPr>
          <w:sz w:val="20"/>
          <w:u w:val="none"/>
        </w:rPr>
        <w:t>MONTANA</w:t>
      </w:r>
    </w:p>
    <w:p>
      <w:pPr>
        <w:pStyle w:val="Normal"/>
        <w:numPr>
          <w:ilvl w:val="0"/>
          <w:numId w:val="0"/>
        </w:numPr>
        <w:outlineLvl w:val="0"/>
        <w:rPr>
          <w:rFonts w:ascii="Arial" w:hAnsi="Arial" w:cs="Arial"/>
          <w:sz w:val="20"/>
          <w:u w:val="none"/>
        </w:rPr>
      </w:pPr>
      <w:r>
        <w:rPr>
          <w:rFonts w:cs="Arial" w:ascii="Arial" w:hAnsi="Arial"/>
          <w:sz w:val="20"/>
          <w:u w:val="none"/>
        </w:rPr>
      </w:r>
    </w:p>
    <w:p>
      <w:pPr>
        <w:pStyle w:val="Normal"/>
        <w:rPr/>
      </w:pPr>
      <w:r>
        <w:rPr>
          <w:rFonts w:cs="Arial" w:ascii="Arial" w:hAnsi="Arial"/>
          <w:u w:val="single"/>
        </w:rPr>
        <w:t>Overview</w:t>
      </w:r>
      <w:r>
        <w:rPr>
          <w:rFonts w:cs="Arial" w:ascii="Arial" w:hAnsi="Arial"/>
        </w:rPr>
        <w:t>.  In 1997, the Montana legislature passed restructuring providing large customers (&lt; 300 kW) customer choice for electricity.   In 1999 we supported ENA’s efforts in Montana through the filing of written pleadings on consumer protection rules, licensing, and default supply.   We expect continued support of this nature in 2000 and 2001.</w:t>
      </w:r>
    </w:p>
    <w:p>
      <w:pPr>
        <w:pStyle w:val="Normal"/>
        <w:rPr>
          <w:rFonts w:ascii="Arial" w:hAnsi="Arial" w:cs="Arial"/>
        </w:rPr>
      </w:pPr>
      <w:r>
        <w:rPr>
          <w:rFonts w:cs="Arial" w:ascii="Arial" w:hAnsi="Arial"/>
        </w:rPr>
      </w:r>
    </w:p>
    <w:p>
      <w:pPr>
        <w:pStyle w:val="Normal"/>
        <w:rPr/>
      </w:pPr>
      <w:r>
        <w:rPr>
          <w:rFonts w:cs="Arial" w:ascii="Arial" w:hAnsi="Arial"/>
          <w:u w:val="single"/>
        </w:rPr>
        <w:t>Outside Counsel</w:t>
      </w:r>
      <w:r>
        <w:rPr>
          <w:rFonts w:cs="Arial" w:ascii="Arial" w:hAnsi="Arial"/>
        </w:rPr>
        <w:t>.  None.</w:t>
      </w:r>
    </w:p>
    <w:p>
      <w:pPr>
        <w:pStyle w:val="Normal"/>
        <w:rPr>
          <w:rFonts w:ascii="Arial" w:hAnsi="Arial" w:cs="Arial"/>
        </w:rPr>
      </w:pPr>
      <w:r>
        <w:rPr>
          <w:rFonts w:cs="Arial" w:ascii="Arial" w:hAnsi="Arial"/>
        </w:rPr>
      </w:r>
    </w:p>
    <w:p>
      <w:pPr>
        <w:pStyle w:val="Heading2"/>
        <w:tabs>
          <w:tab w:val="clear" w:pos="540"/>
        </w:tabs>
        <w:ind w:hanging="0" w:start="0"/>
        <w:rPr/>
      </w:pPr>
      <w:r>
        <w:rPr>
          <w:sz w:val="20"/>
        </w:rPr>
        <w:t>Activities/Focus</w:t>
      </w:r>
      <w:r>
        <w:rPr>
          <w:sz w:val="20"/>
          <w:u w:val="none"/>
        </w:rPr>
        <w:t>.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Petrochko</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Maintain information flow to EES for purposes of maintain rate curves and alerting EES to business opportunities.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EES business opportunities re:  natural gas.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t>M. Petrochko</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Support activities of ENA to renegotiate QF PPAs.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activities of ENA regarding default supply service.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origination activities of ENA with respect to the sale of Montana assets.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Mid-Market as needed with transactions, relationships, etc., with mining customers, coops., municipal utilities, etc., including potential PLR supply/asset management transactions.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4"/>
        <w:ind w:hanging="0" w:start="0"/>
        <w:jc w:val="center"/>
        <w:rPr>
          <w:sz w:val="20"/>
          <w:u w:val="none"/>
        </w:rPr>
      </w:pPr>
      <w:r>
        <w:rPr>
          <w:sz w:val="20"/>
          <w:u w:val="none"/>
        </w:rPr>
        <w:t>WASHINGTON</w:t>
      </w:r>
    </w:p>
    <w:p>
      <w:pPr>
        <w:pStyle w:val="Normal"/>
        <w:numPr>
          <w:ilvl w:val="0"/>
          <w:numId w:val="0"/>
        </w:numPr>
        <w:outlineLvl w:val="0"/>
        <w:rPr>
          <w:rFonts w:ascii="Arial" w:hAnsi="Arial" w:cs="Arial"/>
          <w:sz w:val="20"/>
          <w:u w:val="none"/>
        </w:rPr>
      </w:pPr>
      <w:r>
        <w:rPr>
          <w:rFonts w:cs="Arial" w:ascii="Arial" w:hAnsi="Arial"/>
          <w:sz w:val="20"/>
          <w:u w:val="none"/>
        </w:rPr>
      </w:r>
    </w:p>
    <w:p>
      <w:pPr>
        <w:pStyle w:val="Normal"/>
        <w:rPr/>
      </w:pPr>
      <w:r>
        <w:rPr>
          <w:rFonts w:cs="Arial" w:ascii="Arial" w:hAnsi="Arial"/>
          <w:u w:val="single"/>
        </w:rPr>
        <w:t>Overview</w:t>
      </w:r>
      <w:r>
        <w:rPr>
          <w:rFonts w:cs="Arial" w:ascii="Arial" w:hAnsi="Arial"/>
        </w:rPr>
        <w:t xml:space="preserve">.  Restructuring legislation failed in the 1996, 1997 and 1998 legislatures.   Further activity on restructuring is unlikely. </w:t>
      </w:r>
    </w:p>
    <w:p>
      <w:pPr>
        <w:pStyle w:val="Normal"/>
        <w:rPr>
          <w:rFonts w:ascii="Arial" w:hAnsi="Arial" w:cs="Arial"/>
        </w:rPr>
      </w:pPr>
      <w:r>
        <w:rPr>
          <w:rFonts w:cs="Arial" w:ascii="Arial" w:hAnsi="Arial"/>
        </w:rPr>
      </w:r>
    </w:p>
    <w:p>
      <w:pPr>
        <w:pStyle w:val="Normal"/>
        <w:rPr/>
      </w:pPr>
      <w:r>
        <w:rPr>
          <w:rFonts w:cs="Arial" w:ascii="Arial" w:hAnsi="Arial"/>
          <w:u w:val="single"/>
        </w:rPr>
        <w:t>Outside Counsel</w:t>
      </w:r>
      <w:r>
        <w:rPr>
          <w:rFonts w:cs="Arial" w:ascii="Arial" w:hAnsi="Arial"/>
        </w:rPr>
        <w:t>.  None.</w:t>
      </w:r>
    </w:p>
    <w:p>
      <w:pPr>
        <w:pStyle w:val="Footer"/>
        <w:tabs>
          <w:tab w:val="clear" w:pos="4320"/>
          <w:tab w:val="clear" w:pos="8640"/>
        </w:tabs>
        <w:rPr>
          <w:rFonts w:ascii="Arial" w:hAnsi="Arial" w:cs="Arial"/>
          <w:sz w:val="20"/>
        </w:rPr>
      </w:pPr>
      <w:r>
        <w:rPr>
          <w:rFonts w:cs="Arial"/>
          <w:sz w:val="20"/>
        </w:rPr>
      </w:r>
    </w:p>
    <w:p>
      <w:pPr>
        <w:pStyle w:val="Heading2"/>
        <w:tabs>
          <w:tab w:val="clear" w:pos="540"/>
        </w:tabs>
        <w:ind w:hanging="0" w:start="0"/>
        <w:rPr/>
      </w:pPr>
      <w:r>
        <w:rPr>
          <w:sz w:val="20"/>
        </w:rPr>
        <w:t>Activities/Focus</w:t>
      </w:r>
      <w:r>
        <w:rPr>
          <w:sz w:val="20"/>
          <w:u w:val="none"/>
        </w:rPr>
        <w:t>.  The following table sets forth our expected activities in Arizona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 P. Kaufman</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Maintain information flow to EES for purposes of maintain rate curves and alerting EES to business opportunities. </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 M. Hain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Hain, P. Kaufman</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Support activities of ENA regarding QF acquisition.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Mid-Market as needed with transactions, relationships, etc., with mining customers, coops., municipal utilities, etc., including potential PLR supply/asset management transactions.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other origination activities, such as power plant development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Participate in Bonneville Power Administration proceedings, policy making, as necessary.</w:t>
            </w:r>
          </w:p>
        </w:tc>
      </w:tr>
    </w:tbl>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Heading5"/>
        <w:ind w:hanging="0" w:start="0"/>
        <w:rPr>
          <w:rFonts w:ascii="Arial" w:hAnsi="Arial" w:cs="Arial"/>
          <w:sz w:val="20"/>
        </w:rPr>
      </w:pPr>
      <w:r>
        <w:rPr>
          <w:rFonts w:cs="Arial"/>
          <w:sz w:val="20"/>
        </w:rPr>
      </w:r>
    </w:p>
    <w:p>
      <w:pPr>
        <w:pStyle w:val="Heading5"/>
        <w:ind w:hanging="0" w:start="0"/>
        <w:rPr>
          <w:sz w:val="20"/>
        </w:rPr>
      </w:pPr>
      <w:r>
        <w:rPr>
          <w:sz w:val="20"/>
        </w:rPr>
        <w:t>COLORADO</w:t>
      </w:r>
    </w:p>
    <w:p>
      <w:pPr>
        <w:pStyle w:val="Normal"/>
        <w:rPr>
          <w:rFonts w:ascii="Arial" w:hAnsi="Arial" w:cs="Arial"/>
          <w:sz w:val="20"/>
        </w:rPr>
      </w:pPr>
      <w:r>
        <w:rPr>
          <w:rFonts w:cs="Arial" w:ascii="Arial" w:hAnsi="Arial"/>
          <w:sz w:val="20"/>
        </w:rPr>
      </w:r>
    </w:p>
    <w:p>
      <w:pPr>
        <w:pStyle w:val="Normal"/>
        <w:rPr/>
      </w:pPr>
      <w:r>
        <w:rPr>
          <w:rFonts w:cs="Arial" w:ascii="Arial" w:hAnsi="Arial"/>
          <w:u w:val="single"/>
        </w:rPr>
        <w:t>Overview</w:t>
      </w:r>
      <w:r>
        <w:rPr>
          <w:rFonts w:cs="Arial" w:ascii="Arial" w:hAnsi="Arial"/>
        </w:rPr>
        <w:t xml:space="preserve">.  Restructuring legislation failed in the 1996, 1997 and 1998 legislatures.  </w:t>
      </w:r>
    </w:p>
    <w:p>
      <w:pPr>
        <w:pStyle w:val="Normal"/>
        <w:rPr>
          <w:rFonts w:ascii="Arial" w:hAnsi="Arial" w:cs="Arial"/>
        </w:rPr>
      </w:pPr>
      <w:r>
        <w:rPr>
          <w:rFonts w:cs="Arial" w:ascii="Arial" w:hAnsi="Arial"/>
        </w:rPr>
      </w:r>
    </w:p>
    <w:p>
      <w:pPr>
        <w:pStyle w:val="Normal"/>
        <w:rPr/>
      </w:pPr>
      <w:r>
        <w:rPr>
          <w:rFonts w:cs="Arial" w:ascii="Arial" w:hAnsi="Arial"/>
          <w:u w:val="single"/>
        </w:rPr>
        <w:t>Outside Counsel</w:t>
      </w:r>
      <w:r>
        <w:rPr>
          <w:rFonts w:cs="Arial" w:ascii="Arial" w:hAnsi="Arial"/>
        </w:rPr>
        <w:t>.  None.  Our lobbyist in Colorado is Linda Kirscht of Kirscht &amp; Associates.</w:t>
      </w:r>
    </w:p>
    <w:p>
      <w:pPr>
        <w:pStyle w:val="Normal"/>
        <w:rPr>
          <w:rFonts w:ascii="Arial" w:hAnsi="Arial" w:cs="Arial"/>
        </w:rPr>
      </w:pPr>
      <w:r>
        <w:rPr>
          <w:rFonts w:cs="Arial" w:ascii="Arial" w:hAnsi="Arial"/>
        </w:rPr>
      </w:r>
    </w:p>
    <w:p>
      <w:pPr>
        <w:pStyle w:val="Heading2"/>
        <w:tabs>
          <w:tab w:val="clear" w:pos="540"/>
        </w:tabs>
        <w:ind w:hanging="0" w:start="0"/>
        <w:rPr/>
      </w:pPr>
      <w:r>
        <w:rPr>
          <w:sz w:val="20"/>
        </w:rPr>
        <w:t>Activities/Focus.</w:t>
      </w:r>
      <w:r>
        <w:rPr>
          <w:sz w:val="20"/>
          <w:u w:val="none"/>
        </w:rPr>
        <w:t xml:space="preserve">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J. Dasovich</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Maintain information flow to EES for purposes of maintain rate curves and alerting EES to business opportunities.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activities of coalition seeking restructuring legislation on limited basis.  (Providing testimony, information support, etc.)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EES business opportunities re:  natural gas.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Petrochko,</w:t>
            </w:r>
          </w:p>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Support activities of ENA to develop generation in Colorado.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Support activities of ENA to negotiate QF purchases and buyouts.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Mid-Market as needed with transactions, relationships, etc., with mining customers, coops., municipal utilities, etc., including potential PLR supply/asset management transactions.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5"/>
        <w:ind w:hanging="0" w:start="0"/>
        <w:rPr>
          <w:sz w:val="20"/>
        </w:rPr>
      </w:pPr>
      <w:r>
        <w:rPr>
          <w:sz w:val="20"/>
        </w:rPr>
        <w:t>WYOMING</w:t>
      </w:r>
    </w:p>
    <w:p>
      <w:pPr>
        <w:pStyle w:val="Normal"/>
        <w:rPr>
          <w:rFonts w:ascii="Arial" w:hAnsi="Arial" w:cs="Arial"/>
          <w:sz w:val="20"/>
        </w:rPr>
      </w:pPr>
      <w:r>
        <w:rPr>
          <w:rFonts w:cs="Arial" w:ascii="Arial" w:hAnsi="Arial"/>
          <w:sz w:val="20"/>
        </w:rPr>
      </w:r>
    </w:p>
    <w:p>
      <w:pPr>
        <w:pStyle w:val="Normal"/>
        <w:rPr/>
      </w:pPr>
      <w:r>
        <w:rPr>
          <w:rFonts w:cs="Arial" w:ascii="Arial" w:hAnsi="Arial"/>
          <w:u w:val="single"/>
        </w:rPr>
        <w:t>Overview</w:t>
      </w:r>
      <w:r>
        <w:rPr>
          <w:rFonts w:cs="Arial" w:ascii="Arial" w:hAnsi="Arial"/>
        </w:rPr>
        <w:t xml:space="preserve">.  Restructuring legislation failed in 1997 and was deferred by the 1998 legislature.  We do not expect any restructuring legislation in 2001. </w:t>
      </w:r>
    </w:p>
    <w:p>
      <w:pPr>
        <w:pStyle w:val="Normal"/>
        <w:rPr>
          <w:rFonts w:ascii="Arial" w:hAnsi="Arial" w:cs="Arial"/>
        </w:rPr>
      </w:pPr>
      <w:r>
        <w:rPr>
          <w:rFonts w:cs="Arial" w:ascii="Arial" w:hAnsi="Arial"/>
        </w:rPr>
      </w:r>
    </w:p>
    <w:p>
      <w:pPr>
        <w:pStyle w:val="Normal"/>
        <w:rPr/>
      </w:pPr>
      <w:r>
        <w:rPr>
          <w:rFonts w:cs="Arial" w:ascii="Arial" w:hAnsi="Arial"/>
          <w:u w:val="single"/>
        </w:rPr>
        <w:t>Outside Counsel</w:t>
      </w:r>
      <w:r>
        <w:rPr>
          <w:rFonts w:cs="Arial" w:ascii="Arial" w:hAnsi="Arial"/>
        </w:rPr>
        <w:t xml:space="preserve">.  None. </w:t>
      </w:r>
    </w:p>
    <w:p>
      <w:pPr>
        <w:pStyle w:val="Normal"/>
        <w:rPr>
          <w:rFonts w:ascii="Arial" w:hAnsi="Arial" w:cs="Arial"/>
        </w:rPr>
      </w:pPr>
      <w:r>
        <w:rPr>
          <w:rFonts w:cs="Arial" w:ascii="Arial" w:hAnsi="Arial"/>
        </w:rPr>
      </w:r>
    </w:p>
    <w:p>
      <w:pPr>
        <w:pStyle w:val="Heading2"/>
        <w:tabs>
          <w:tab w:val="clear" w:pos="540"/>
        </w:tabs>
        <w:ind w:hanging="0" w:start="0"/>
        <w:rPr/>
      </w:pPr>
      <w:r>
        <w:rPr>
          <w:sz w:val="20"/>
        </w:rPr>
        <w:t>Activities/Focus.</w:t>
      </w:r>
      <w:r>
        <w:rPr>
          <w:sz w:val="20"/>
          <w:u w:val="none"/>
        </w:rPr>
        <w:t xml:space="preserve">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Petrochko, 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J. Dasovich</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Maintain information flow to EES for purposes of maintain rate curves and alerting EES to business opportunities.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EES business opportunities re:  natural gas.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 M. Petrochko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Support activities of ENA to negotiate QF purchases and buyouts.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Mid-Market as needed with transactions, relationships, etc., with mining customers, coops., municipal utilities, etc., including potential PLR supply/asset management transactions.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ENA efforts in financing gathering facilities.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5"/>
        <w:ind w:hanging="0" w:start="0"/>
        <w:rPr>
          <w:sz w:val="20"/>
        </w:rPr>
      </w:pPr>
      <w:r>
        <w:rPr>
          <w:sz w:val="20"/>
        </w:rPr>
        <w:t>UTAH AND IDAHO</w:t>
      </w:r>
    </w:p>
    <w:p>
      <w:pPr>
        <w:pStyle w:val="Normal"/>
        <w:rPr>
          <w:rFonts w:ascii="Arial" w:hAnsi="Arial" w:cs="Arial"/>
          <w:sz w:val="20"/>
        </w:rPr>
      </w:pPr>
      <w:r>
        <w:rPr>
          <w:rFonts w:cs="Arial" w:ascii="Arial" w:hAnsi="Arial"/>
          <w:sz w:val="20"/>
        </w:rPr>
      </w:r>
    </w:p>
    <w:p>
      <w:pPr>
        <w:pStyle w:val="Normal"/>
        <w:rPr/>
      </w:pPr>
      <w:r>
        <w:rPr>
          <w:rFonts w:cs="Arial" w:ascii="Arial" w:hAnsi="Arial"/>
          <w:u w:val="single"/>
        </w:rPr>
        <w:t>Overview</w:t>
      </w:r>
      <w:r>
        <w:rPr>
          <w:rFonts w:cs="Arial" w:ascii="Arial" w:hAnsi="Arial"/>
        </w:rPr>
        <w:t xml:space="preserve">.  Restructuring task forces have been in existence in these states since 1997 and are expected to continue in 2001.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do not expect any restructuring legislation in 2001. </w:t>
      </w:r>
    </w:p>
    <w:p>
      <w:pPr>
        <w:pStyle w:val="Normal"/>
        <w:rPr>
          <w:rFonts w:ascii="Arial" w:hAnsi="Arial" w:cs="Arial"/>
        </w:rPr>
      </w:pPr>
      <w:r>
        <w:rPr>
          <w:rFonts w:cs="Arial" w:ascii="Arial" w:hAnsi="Arial"/>
        </w:rPr>
      </w:r>
    </w:p>
    <w:p>
      <w:pPr>
        <w:pStyle w:val="Normal"/>
        <w:rPr/>
      </w:pPr>
      <w:r>
        <w:rPr>
          <w:rFonts w:cs="Arial" w:ascii="Arial" w:hAnsi="Arial"/>
          <w:u w:val="single"/>
        </w:rPr>
        <w:t>Outside Counsel</w:t>
      </w:r>
      <w:r>
        <w:rPr>
          <w:rFonts w:cs="Arial" w:ascii="Arial" w:hAnsi="Arial"/>
        </w:rPr>
        <w:t xml:space="preserve">.  None. </w:t>
      </w:r>
    </w:p>
    <w:p>
      <w:pPr>
        <w:pStyle w:val="Normal"/>
        <w:rPr>
          <w:rFonts w:ascii="Arial" w:hAnsi="Arial" w:cs="Arial"/>
        </w:rPr>
      </w:pPr>
      <w:r>
        <w:rPr>
          <w:rFonts w:cs="Arial" w:ascii="Arial" w:hAnsi="Arial"/>
        </w:rPr>
      </w:r>
    </w:p>
    <w:p>
      <w:pPr>
        <w:pStyle w:val="Heading2"/>
        <w:tabs>
          <w:tab w:val="clear" w:pos="540"/>
        </w:tabs>
        <w:ind w:hanging="0" w:start="0"/>
        <w:rPr/>
      </w:pPr>
      <w:r>
        <w:rPr>
          <w:sz w:val="20"/>
        </w:rPr>
        <w:t>Activities/Focus.</w:t>
      </w:r>
      <w:r>
        <w:rPr>
          <w:sz w:val="20"/>
          <w:u w:val="none"/>
        </w:rPr>
        <w:t xml:space="preserve">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p>
      <w:pPr>
        <w:pStyle w:val="Normal"/>
        <w:rPr>
          <w:rFonts w:ascii="Arial" w:hAnsi="Arial" w:cs="Arial"/>
        </w:rPr>
      </w:pPr>
      <w:r>
        <w:rPr>
          <w:rFonts w:cs="Arial" w:ascii="Arial" w:hAnsi="Arial"/>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Maintain information flow to EES for purposes of maintain rate curves and alerting EES to business opportunities. </w:t>
            </w:r>
          </w:p>
          <w:p>
            <w:pPr>
              <w:pStyle w:val="Normal"/>
              <w:rPr>
                <w:rFonts w:ascii="Arial" w:hAnsi="Arial" w:cs="Arial"/>
              </w:rPr>
            </w:pPr>
            <w:r>
              <w:rPr>
                <w:rFonts w:cs="Arial" w:ascii="Arial" w:hAnsi="Arial"/>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t>T. Twiggs</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Support Mid-Market activities as needed with transactions, relationships, etc., with mining customers, coops., municipal utilities, etc., including potential PLR supply/asset management transactions.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ENA efforts to develop power plants.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5"/>
        <w:ind w:hanging="0" w:start="0"/>
        <w:rPr>
          <w:sz w:val="20"/>
        </w:rPr>
      </w:pPr>
      <w:r>
        <w:rPr>
          <w:sz w:val="20"/>
        </w:rPr>
        <w:t>OREGON</w:t>
      </w:r>
    </w:p>
    <w:p>
      <w:pPr>
        <w:pStyle w:val="Normal"/>
        <w:rPr>
          <w:rFonts w:ascii="Arial" w:hAnsi="Arial" w:cs="Arial"/>
          <w:sz w:val="20"/>
        </w:rPr>
      </w:pPr>
      <w:r>
        <w:rPr>
          <w:rFonts w:cs="Arial" w:ascii="Arial" w:hAnsi="Arial"/>
          <w:sz w:val="20"/>
        </w:rPr>
      </w:r>
    </w:p>
    <w:p>
      <w:pPr>
        <w:pStyle w:val="Normal"/>
        <w:rPr/>
      </w:pPr>
      <w:r>
        <w:rPr>
          <w:rFonts w:cs="Arial" w:ascii="Arial" w:hAnsi="Arial"/>
          <w:u w:val="single"/>
        </w:rPr>
        <w:t>Business Plan</w:t>
      </w:r>
      <w:r>
        <w:rPr>
          <w:rFonts w:cs="Arial" w:ascii="Arial" w:hAnsi="Arial"/>
        </w:rPr>
        <w:t xml:space="preserve">.  Until the sale of PGE is completed, our participation in legislative and regulatory matters in Oregon will be limited to those occasions when regulators or legislators seek input from the marketing community.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Oregon enacted restructuring legislation in 1999 and continues its efforts to implement this statute.   It appears that restructuring may provide an opportunity for EES, given that large customers will be subject to market-based pricing by the utility if they remain a PLR customer.  </w:t>
      </w:r>
    </w:p>
    <w:p>
      <w:pPr>
        <w:pStyle w:val="Normal"/>
        <w:rPr>
          <w:rFonts w:ascii="Arial" w:hAnsi="Arial" w:cs="Arial"/>
        </w:rPr>
      </w:pPr>
      <w:r>
        <w:rPr>
          <w:rFonts w:cs="Arial" w:ascii="Arial" w:hAnsi="Arial"/>
        </w:rPr>
      </w:r>
    </w:p>
    <w:p>
      <w:pPr>
        <w:pStyle w:val="Normal"/>
        <w:rPr/>
      </w:pPr>
      <w:r>
        <w:rPr>
          <w:rFonts w:cs="Arial" w:ascii="Arial" w:hAnsi="Arial"/>
          <w:u w:val="single"/>
        </w:rPr>
        <w:t>Outside Counsel</w:t>
      </w:r>
      <w:r>
        <w:rPr>
          <w:rFonts w:cs="Arial" w:ascii="Arial" w:hAnsi="Arial"/>
        </w:rPr>
        <w:t xml:space="preserve">.  None.  </w:t>
      </w:r>
    </w:p>
    <w:p>
      <w:pPr>
        <w:pStyle w:val="Normal"/>
        <w:rPr>
          <w:rFonts w:ascii="Arial" w:hAnsi="Arial" w:cs="Arial"/>
        </w:rPr>
      </w:pPr>
      <w:r>
        <w:rPr>
          <w:rFonts w:cs="Arial" w:ascii="Arial" w:hAnsi="Arial"/>
        </w:rPr>
      </w:r>
    </w:p>
    <w:p>
      <w:pPr>
        <w:pStyle w:val="Heading2"/>
        <w:tabs>
          <w:tab w:val="clear" w:pos="540"/>
        </w:tabs>
        <w:ind w:hanging="0" w:start="0"/>
        <w:rPr/>
      </w:pPr>
      <w:r>
        <w:rPr>
          <w:sz w:val="20"/>
        </w:rPr>
        <w:t>Activities/Focus.</w:t>
      </w:r>
      <w:r>
        <w:rPr>
          <w:sz w:val="20"/>
          <w:u w:val="none"/>
        </w:rPr>
        <w:t xml:space="preserve">   The following table sets forth our expected activities and the resources we intend to use to complete those activities.</w:t>
      </w:r>
    </w:p>
    <w:p>
      <w:pPr>
        <w:pStyle w:val="Normal"/>
        <w:rPr>
          <w:rFonts w:ascii="Arial" w:hAnsi="Arial" w:cs="Arial"/>
          <w:sz w:val="20"/>
          <w:u w:val="none"/>
        </w:rPr>
      </w:pPr>
      <w:r>
        <w:rPr>
          <w:rFonts w:cs="Arial" w:ascii="Arial" w:hAnsi="Arial"/>
          <w:sz w:val="20"/>
          <w:u w:val="none"/>
        </w:rPr>
      </w:r>
    </w:p>
    <w:tbl>
      <w:tblPr>
        <w:tblW w:w="9540" w:type="dxa"/>
        <w:jc w:val="start"/>
        <w:tblInd w:w="738" w:type="dxa"/>
        <w:tblLayout w:type="fixed"/>
        <w:tblCellMar>
          <w:top w:w="0" w:type="dxa"/>
          <w:start w:w="108" w:type="dxa"/>
          <w:bottom w:w="0" w:type="dxa"/>
          <w:end w:w="108" w:type="dxa"/>
        </w:tblCellMar>
      </w:tblPr>
      <w:tblGrid>
        <w:gridCol w:w="2250"/>
        <w:gridCol w:w="1620"/>
        <w:gridCol w:w="567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GA Coverage</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Activity</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Inc.</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 Milner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J. Dasovich</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Maintain information flow to EES for purposes of maintain rate curves and alerting EES to business opportunities.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After sale of PGE, support activities of coalition implementing restructuring legislation on limited basis.  (Providing testimony, information support, etc.)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EES business opportunities re:  natural gas.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North America</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 Kaufman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Petrochko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 Hain</w:t>
            </w:r>
          </w:p>
        </w:tc>
        <w:tc>
          <w:tcPr>
            <w:tcW w:w="56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Support activities of ENA to develop generation in Oregon.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 Mid-Market as needed with transactions, relationships, etc., with mining customers, coops., municipal utilities, etc., including potential PLR supply/asset management transactions.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Participate in BPA rate cases and policy making as appropriate.</w:t>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footerReference w:type="default" r:id="rId4"/>
      <w:footerReference w:type="first" r:id="rId5"/>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2"/>
      </w:rPr>
    </w:pPr>
    <w:r>
      <w:rPr/>
      <w:tab/>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tabs>
        <w:tab w:val="clear" w:pos="720"/>
        <w:tab w:val="left" w:pos="540" w:leader="none"/>
      </w:tabs>
      <w:outlineLvl w:val="1"/>
    </w:pPr>
    <w:rPr>
      <w:rFonts w:ascii="Arial" w:hAnsi="Arial" w:cs="Arial"/>
      <w:sz w:val="24"/>
      <w:u w:val="single"/>
    </w:rPr>
  </w:style>
  <w:style w:type="paragraph" w:styleId="Heading4">
    <w:name w:val="heading 4"/>
    <w:basedOn w:val="Normal"/>
    <w:next w:val="Normal"/>
    <w:qFormat/>
    <w:pPr>
      <w:keepNext w:val="true"/>
      <w:numPr>
        <w:ilvl w:val="3"/>
        <w:numId w:val="1"/>
      </w:numPr>
      <w:tabs>
        <w:tab w:val="clear" w:pos="720"/>
        <w:tab w:val="left" w:pos="540" w:leader="none"/>
      </w:tabs>
      <w:outlineLvl w:val="3"/>
    </w:pPr>
    <w:rPr>
      <w:rFonts w:ascii="Arial" w:hAnsi="Arial" w:cs="Arial"/>
      <w:b/>
      <w:sz w:val="24"/>
      <w:u w:val="single"/>
    </w:rPr>
  </w:style>
  <w:style w:type="paragraph" w:styleId="Heading5">
    <w:name w:val="heading 5"/>
    <w:basedOn w:val="Normal"/>
    <w:next w:val="Normal"/>
    <w:qFormat/>
    <w:pPr>
      <w:keepNext w:val="true"/>
      <w:numPr>
        <w:ilvl w:val="4"/>
        <w:numId w:val="1"/>
      </w:numPr>
      <w:tabs>
        <w:tab w:val="clear" w:pos="720"/>
        <w:tab w:val="left" w:pos="540" w:leader="none"/>
      </w:tabs>
      <w:jc w:val="center"/>
      <w:outlineLvl w:val="4"/>
    </w:pPr>
    <w:rPr>
      <w:rFonts w:ascii="Arial" w:hAnsi="Arial" w:cs="Arial"/>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2000-10-05T22:34:00Z</dcterms:created>
  <dc:creator>pkaufma</dc:creator>
  <dc:description/>
  <dc:language>en-CA</dc:language>
  <cp:lastModifiedBy>pkaufma</cp:lastModifiedBy>
  <dcterms:modified xsi:type="dcterms:W3CDTF">2000-10-05T22:34:00Z</dcterms:modified>
  <cp:revision>2</cp:revision>
  <dc:subject/>
  <dc:title>Western States Strategic Plan</dc:title>
</cp:coreProperties>
</file>