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start="0" w:end="0"/>
        <w:rPr>
          <w:rFonts w:ascii="Times New Roman" w:hAnsi="Times New Roman" w:cs="Times New Roman"/>
        </w:rPr>
      </w:pPr>
      <w:r>
        <w:rPr>
          <w:rFonts w:cs="Times New Roman" w:ascii="Times New Roman" w:hAnsi="Times New Roman"/>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677795" cy="698500"/>
                <wp:effectExtent l="0" t="0" r="0" b="0"/>
                <wp:wrapTopAndBottom/>
                <wp:docPr id="1" name="Frame1"/>
                <a:graphic xmlns:a="http://schemas.openxmlformats.org/drawingml/2006/main">
                  <a:graphicData uri="http://schemas.microsoft.com/office/word/2010/wordprocessingShape">
                    <wps:wsp>
                      <wps:cNvSpPr txBox="1"/>
                      <wps:spPr>
                        <a:xfrm>
                          <a:off x="0" y="0"/>
                          <a:ext cx="2677795" cy="698500"/>
                        </a:xfrm>
                        <a:prstGeom prst="rect"/>
                        <a:solidFill>
                          <a:srgbClr val="FFFFFF">
                            <a:alpha val="0"/>
                          </a:srgbClr>
                        </a:solidFill>
                        <a:ln w="9525">
                          <a:solidFill>
                            <a:srgbClr val="000000"/>
                          </a:solidFill>
                        </a:ln>
                      </wps:spPr>
                      <wps:txbx>
                        <w:txbxContent>
                          <w:p>
                            <w:pPr>
                              <w:pStyle w:val="CompanyName"/>
                              <w:rPr/>
                            </w:pPr>
                            <w:r>
                              <w:rPr/>
                              <w:t>Wright &amp; Talisman, P.C.</w:t>
                            </w:r>
                          </w:p>
                        </w:txbxContent>
                      </wps:txbx>
                      <wps:bodyPr anchor="t" lIns="114300" tIns="114300" rIns="114300" bIns="114300">
                        <a:noAutofit/>
                      </wps:bodyPr>
                    </wps:wsp>
                  </a:graphicData>
                </a:graphic>
              </wp:anchor>
            </w:drawing>
          </mc:Choice>
          <mc:Fallback>
            <w:pict>
              <v:rect fillcolor="#FFFFFF" strokecolor="#000000" strokeweight="0pt" style="position:absolute;rotation:-0;width:210.8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Wright &amp; Talisman, P.C.</w:t>
                      </w:r>
                    </w:p>
                  </w:txbxContent>
                </v:textbox>
                <w10:wrap type="topAndBottom"/>
              </v:rect>
            </w:pict>
          </mc:Fallback>
        </mc:AlternateContent>
      </w:r>
    </w:p>
    <w:p>
      <w:pPr>
        <w:pStyle w:val="Normal"/>
        <w:rPr>
          <w:rFonts w:ascii="Times New Roman" w:hAnsi="Times New Roman" w:cs="Times New Roman"/>
        </w:rPr>
      </w:pPr>
      <w:r>
        <w:rPr>
          <w:rFonts w:cs="Times New Roman"/>
        </w:rPr>
      </w:r>
    </w:p>
    <w:p>
      <w:pPr>
        <w:pStyle w:val="Normal"/>
        <w:rPr/>
      </w:pPr>
      <w:r>
        <w:rPr/>
        <w:t>To:</w:t>
        <w:tab/>
        <w:tab/>
        <w:t>WSPP Contracting Committee</w:t>
      </w:r>
    </w:p>
    <w:p>
      <w:pPr>
        <w:pStyle w:val="Header"/>
        <w:tabs>
          <w:tab w:val="clear" w:pos="4320"/>
          <w:tab w:val="clear" w:pos="8640"/>
        </w:tabs>
        <w:rPr/>
      </w:pPr>
      <w:r>
        <w:rPr/>
      </w:r>
    </w:p>
    <w:p>
      <w:pPr>
        <w:pStyle w:val="Normal"/>
        <w:rPr/>
      </w:pPr>
      <w:r>
        <w:rPr/>
        <w:t>From:</w:t>
        <w:tab/>
        <w:tab/>
        <w:t>Mike Small</w:t>
      </w:r>
    </w:p>
    <w:p>
      <w:pPr>
        <w:pStyle w:val="Normal"/>
        <w:rPr/>
      </w:pPr>
      <w:r>
        <w:rPr/>
      </w:r>
    </w:p>
    <w:p>
      <w:pPr>
        <w:pStyle w:val="Normal"/>
        <w:rPr/>
      </w:pPr>
      <w:r>
        <w:rPr/>
        <w:t>Date:</w:t>
        <w:tab/>
        <w:tab/>
        <w:t>July 16, 2001</w:t>
      </w:r>
    </w:p>
    <w:p>
      <w:pPr>
        <w:pStyle w:val="Normal"/>
        <w:rPr/>
      </w:pPr>
      <w:r>
        <w:rPr/>
      </w:r>
    </w:p>
    <w:p>
      <w:pPr>
        <w:pStyle w:val="Normal"/>
        <w:rPr/>
      </w:pPr>
      <w:r>
        <w:rPr/>
        <w:t>Re:</w:t>
        <w:tab/>
        <w:tab/>
        <w:t>CAISO Product; July 20, 2001 Conference Call</w:t>
      </w:r>
    </w:p>
    <w:p>
      <w:pPr>
        <w:pStyle w:val="Normal"/>
        <w:pBdr>
          <w:bottom w:val="single" w:sz="12" w:space="1" w:color="000000"/>
        </w:pBdr>
        <w:rPr/>
      </w:pPr>
      <w:r>
        <w:rPr/>
      </w:r>
    </w:p>
    <w:p>
      <w:pPr>
        <w:pStyle w:val="Normal"/>
        <w:rPr/>
      </w:pPr>
      <w:r>
        <w:rPr/>
      </w:r>
    </w:p>
    <w:p>
      <w:pPr>
        <w:pStyle w:val="Normal"/>
        <w:rPr/>
      </w:pPr>
      <w:r>
        <w:rPr/>
        <w:tab/>
        <w:t>I believe that the following CalISO definition is used by many parties to the WSPP Agreement:</w:t>
      </w:r>
    </w:p>
    <w:p>
      <w:pPr>
        <w:pStyle w:val="Normal"/>
        <w:ind w:start="1440" w:end="1440"/>
        <w:rPr/>
      </w:pPr>
      <w:r>
        <w:rPr/>
      </w:r>
    </w:p>
    <w:p>
      <w:pPr>
        <w:pStyle w:val="BlockText"/>
        <w:spacing w:before="0" w:after="0"/>
        <w:rPr/>
      </w:pPr>
      <w:r>
        <w:rPr/>
        <w:t>“</w:t>
      </w:r>
      <w:r>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440" w:end="1440"/>
        <w:rPr/>
      </w:pPr>
      <w:r>
        <w:rPr/>
      </w:r>
    </w:p>
    <w:p>
      <w:pPr>
        <w:pStyle w:val="Normal"/>
        <w:rPr/>
      </w:pPr>
      <w:r>
        <w:rPr/>
        <w:t>In response to prior emails, I received the following changes to that language:</w:t>
      </w:r>
    </w:p>
    <w:p>
      <w:pPr>
        <w:pStyle w:val="Normal"/>
        <w:rPr/>
      </w:pPr>
      <w:r>
        <w:rPr/>
      </w:r>
    </w:p>
    <w:p>
      <w:pPr>
        <w:pStyle w:val="Normal"/>
        <w:rPr/>
      </w:pPr>
      <w:r>
        <w:rPr/>
        <w:t>(1)</w:t>
        <w:tab/>
        <w:t xml:space="preserve">Duke adds:  </w:t>
      </w:r>
    </w:p>
    <w:p>
      <w:pPr>
        <w:pStyle w:val="Normal"/>
        <w:rPr/>
      </w:pPr>
      <w:r>
        <w:rPr/>
      </w:r>
    </w:p>
    <w:p>
      <w:pPr>
        <w:pStyle w:val="BlockText"/>
        <w:spacing w:before="0" w:after="0"/>
        <w:rPr/>
      </w:pPr>
      <w:r>
        <w:rPr/>
        <w:t>A CAISO “Schedule Adjustment” (defined as a schedule change implemented by the CAISO that is neither caused by, or within the control of, either Party) shall not constitute an Uncontrollable Force; rather if there is a CAISO Schedule Adjustment, the Party negatively impacted shall notify the other party and the Parties shall be obligated to exercise their reasonable efforts to reach an equitable resolution that reflects as nearly as practicable, the intention of the Transaction as originally negotiated.  All terms used within this definition of CAISO Energy, but not defined in the Agreement, shall have the meaning ascribed to them in the Tariff.</w:t>
      </w:r>
    </w:p>
    <w:p>
      <w:pPr>
        <w:pStyle w:val="Normal"/>
        <w:ind w:start="1440" w:end="1440"/>
        <w:rPr/>
      </w:pPr>
      <w:r>
        <w:rPr/>
      </w:r>
    </w:p>
    <w:p>
      <w:pPr>
        <w:pStyle w:val="Normal"/>
        <w:rPr/>
      </w:pPr>
      <w:r>
        <w:rPr/>
        <w:t>(2)</w:t>
        <w:tab/>
        <w:t>Tractebel sent the following:</w:t>
      </w:r>
    </w:p>
    <w:p>
      <w:pPr>
        <w:pStyle w:val="Header"/>
        <w:tabs>
          <w:tab w:val="clear" w:pos="4320"/>
          <w:tab w:val="clear" w:pos="8640"/>
        </w:tabs>
        <w:rPr/>
      </w:pPr>
      <w:r>
        <w:rPr/>
      </w:r>
    </w:p>
    <w:p>
      <w:pPr>
        <w:pStyle w:val="BlockText"/>
        <w:spacing w:before="0" w:after="0"/>
        <w:rPr/>
      </w:pPr>
      <w:r>
        <w:rPr/>
        <w:t>“</w:t>
      </w:r>
      <w:r>
        <w:rPr/>
        <w:t>CAISO Firm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A CAISO Schedule Adjustment shall not constitute an Uncontrollable Force; rather, if there is a CAISO Schedule Adjustment of the Contract Quantity, the Parties shall make an adjustment payment (the “Adjustment Payment”) with respect to the Contract Quantity that is adjusted by the CAISO (the “Affected Contract Quantity”).  “CAISO Schedule Adjustment” means a schedule change implemented by the CAISO that is neither caused by, nor within the control of, either Party.</w:t>
      </w:r>
    </w:p>
    <w:p>
      <w:pPr>
        <w:pStyle w:val="Normal"/>
        <w:ind w:start="1440" w:end="1440"/>
        <w:rPr/>
      </w:pPr>
      <w:r>
        <w:rPr/>
      </w:r>
    </w:p>
    <w:p>
      <w:pPr>
        <w:pStyle w:val="Normal"/>
        <w:ind w:start="1440" w:end="1440"/>
        <w:rPr/>
      </w:pPr>
      <w:r>
        <w:rPr/>
        <w:t>The Adjustment Payment(s) shall be calculated as follows:</w:t>
      </w:r>
    </w:p>
    <w:p>
      <w:pPr>
        <w:pStyle w:val="Normal"/>
        <w:ind w:start="1440" w:end="1440"/>
        <w:rPr/>
      </w:pPr>
      <w:r>
        <w:rPr/>
      </w:r>
    </w:p>
    <w:p>
      <w:pPr>
        <w:pStyle w:val="Normal"/>
        <w:ind w:hanging="720" w:start="2160" w:end="1440"/>
        <w:rPr/>
      </w:pPr>
      <w:r>
        <w:rPr/>
        <w:t>1.</w:t>
        <w:tab/>
        <w:t>Where the “Incremental Price” (“Inc Price”) and the “Decremental Price” (“Dec Price”), each as determined by the CAISO pursuant to the Tariff, are equal:  (I) if such price is greater than the Contract Price, Seller shall make an Adjustment Payment to Buyer equal to the difference between such greater price and the Contract Price for the Affected Contract Quantity; or (ii) if such price is less than the Contract Price, Buyer shall make an Adjustment Payment to Seller equal to the difference between such lesser price and the Contract Price for the Affected Contract Quantity.</w:t>
      </w:r>
    </w:p>
    <w:p>
      <w:pPr>
        <w:pStyle w:val="Normal"/>
        <w:ind w:end="1440"/>
        <w:rPr/>
      </w:pPr>
      <w:r>
        <w:rPr/>
      </w:r>
    </w:p>
    <w:p>
      <w:pPr>
        <w:pStyle w:val="Normal"/>
        <w:ind w:hanging="720" w:start="2160" w:end="1440"/>
        <w:rPr/>
      </w:pPr>
      <w:r>
        <w:rPr/>
        <w:t>2.</w:t>
        <w:tab/>
        <w:t>Where the Inc Price and the Dec Price are unequal, an Adjustment Payment will be calculated and paid for both the Inc Price and the Dec Price as follows:</w:t>
      </w:r>
    </w:p>
    <w:p>
      <w:pPr>
        <w:pStyle w:val="Normal"/>
        <w:ind w:end="1440"/>
        <w:rPr/>
      </w:pPr>
      <w:r>
        <w:rPr/>
      </w:r>
    </w:p>
    <w:p>
      <w:pPr>
        <w:pStyle w:val="Normal"/>
        <w:ind w:hanging="720" w:start="2880" w:end="1440"/>
        <w:rPr/>
      </w:pPr>
      <w:r>
        <w:rPr/>
        <w:t>A.</w:t>
        <w:tab/>
      </w:r>
      <w:r>
        <w:rPr>
          <w:u w:val="single"/>
        </w:rPr>
        <w:t>Inc Price Adjustment Payment</w:t>
      </w:r>
      <w:r>
        <w:rPr/>
        <w:t>.  If the Inc Price is greater than the Contract Price, Seller shall make an Adjustment Payment to Buyer equal to 50% of the difference between the Inc Price and the Contract Price for the Affected Contract Quantity.  If the Inc Price is less than the Contract Price,  Seller shall make an adjustment Payment to Buyer equal to 50% of the difference between the Contract Price and the Inc Price for the Affected Contract Quantity.</w:t>
      </w:r>
    </w:p>
    <w:p>
      <w:pPr>
        <w:pStyle w:val="Normal"/>
        <w:ind w:end="1440"/>
        <w:rPr>
          <w:u w:val="single"/>
        </w:rPr>
      </w:pPr>
      <w:r>
        <w:rPr>
          <w:u w:val="single"/>
        </w:rPr>
      </w:r>
    </w:p>
    <w:p>
      <w:pPr>
        <w:pStyle w:val="Normal"/>
        <w:ind w:hanging="720" w:start="3600" w:end="1440"/>
        <w:rPr>
          <w:b/>
          <w:u w:val="single"/>
        </w:rPr>
      </w:pPr>
      <w:r>
        <w:rPr>
          <w:b/>
          <w:u w:val="single"/>
        </w:rPr>
        <w:t>and</w:t>
      </w:r>
    </w:p>
    <w:p>
      <w:pPr>
        <w:pStyle w:val="Normal"/>
        <w:ind w:hanging="720" w:start="3600" w:end="1440"/>
        <w:rPr/>
      </w:pPr>
      <w:r>
        <w:rPr/>
      </w:r>
    </w:p>
    <w:p>
      <w:pPr>
        <w:pStyle w:val="Normal"/>
        <w:ind w:hanging="720" w:start="2880" w:end="1440"/>
        <w:rPr/>
      </w:pPr>
      <w:r>
        <w:rPr/>
        <w:t>B.</w:t>
        <w:tab/>
      </w:r>
      <w:r>
        <w:rPr>
          <w:u w:val="single"/>
        </w:rPr>
        <w:t>Dec Price Adjustment Payment</w:t>
      </w:r>
      <w:r>
        <w:rPr/>
        <w:t>.  If the Dec Price is greater than the Contract Price, Seller shall make an Adjustment Payment to Buyer equal to 50% of the difference between the Dec Price and the Contract Price for the Affected Contract Quantity.  If the Dec Price is less than the Contract Price, Seller shall make an Adjustment Payment to Buyer equal to 50% of the difference between the Contract Price and the Dec Price for the Affected Contract Quantity.</w:t>
      </w:r>
    </w:p>
    <w:p>
      <w:pPr>
        <w:pStyle w:val="Normal"/>
        <w:ind w:end="1440"/>
        <w:rPr/>
      </w:pPr>
      <w:r>
        <w:rPr/>
      </w:r>
    </w:p>
    <w:p>
      <w:pPr>
        <w:pStyle w:val="Normal"/>
        <w:ind w:end="1440"/>
        <w:rPr/>
      </w:pPr>
      <w:r>
        <w:rPr/>
        <w:t>(3)</w:t>
        <w:tab/>
        <w:t>Xcel Energy sent the following as possible additions:</w:t>
      </w:r>
    </w:p>
    <w:p>
      <w:pPr>
        <w:pStyle w:val="Normal"/>
        <w:ind w:end="1440"/>
        <w:rPr/>
      </w:pPr>
      <w:r>
        <w:rPr/>
      </w:r>
    </w:p>
    <w:p>
      <w:pPr>
        <w:pStyle w:val="BlockText"/>
        <w:spacing w:before="0" w:after="0"/>
        <w:rPr/>
      </w:pPr>
      <w:r>
        <w:rPr/>
        <w:t>“</w:t>
      </w:r>
      <w:r>
        <w:rPr/>
        <w:t xml:space="preserve">If the Parties agree to a service level defined by a different agreement (i.e., the WSPP agreement, the ERCOT agreement, etc.)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excuses for performance, Force Majeure, Uncontrollable Forces, or other such excuses applicable to such other agreement, to the extent inconsistent with the terms of this Agreement, but all other terms and conditions of this Agreement remain applicable.”  </w:t>
      </w:r>
    </w:p>
    <w:p>
      <w:pPr>
        <w:pStyle w:val="Normal"/>
        <w:ind w:start="1440" w:end="1440"/>
        <w:rPr/>
      </w:pPr>
      <w:r>
        <w:rPr/>
      </w:r>
    </w:p>
    <w:p>
      <w:pPr>
        <w:pStyle w:val="Normal"/>
        <w:ind w:start="1440" w:end="1440"/>
        <w:rPr/>
      </w:pPr>
      <w:r>
        <w:rPr/>
        <w:t>“</w:t>
      </w:r>
      <w:r>
        <w:rPr/>
        <w:t xml:space="preserve">If the Parties agree to a service level/product defined by a different agreement (i.e., the WSPP agreement, the ERCOT agreement, etc.)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  </w:t>
      </w:r>
    </w:p>
    <w:p>
      <w:pPr>
        <w:pStyle w:val="Normal"/>
        <w:ind w:start="1440" w:end="1440"/>
        <w:rPr/>
      </w:pPr>
      <w:r>
        <w:rPr/>
      </w:r>
    </w:p>
    <w:p>
      <w:pPr>
        <w:pStyle w:val="Normal"/>
        <w:ind w:start="1440" w:end="1440"/>
        <w:rPr/>
      </w:pPr>
      <w:r>
        <w:rPr/>
        <w:t xml:space="preserve">Other Products and Service Levels: The Parties may agree to use a product/service level defined by a different agreement (i.e., the WSPP Agreement, the ERCOT agreement, etc.) for a particular Transaction. Unless the Parties expressly state and agree that all the terms and conditions of such other agreement will apply to any such Transaction, the Transaction shall be subject to all the terms of this Agreement, except that (1) all service level/product definitions; (2) the regional reliability requirements and guidelines; and (3) Force Majeure/Uncontrollable Force definitions shall have the meaning ascribed to them in the different agreement or in the applicable confirmation notice. </w:t>
      </w:r>
    </w:p>
    <w:p>
      <w:pPr>
        <w:pStyle w:val="Normal"/>
        <w:rPr/>
      </w:pPr>
      <w:r>
        <w:rPr/>
      </w:r>
    </w:p>
    <w:p>
      <w:pPr>
        <w:pStyle w:val="BodyTextIndent"/>
        <w:rPr/>
      </w:pPr>
      <w:r>
        <w:rPr/>
        <w:t>(4)</w:t>
        <w:tab/>
        <w:t>San Diego Gas &amp; Electric had previously stated that it would add:  “ISO schedule adjustments are not considered ‘Uncontrollable Forces.’”</w:t>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Wspp/1003-538-147</w:t>
      </w:r>
    </w:p>
    <w:sectPr>
      <w:footerReference w:type="default" r:id="rId2"/>
      <w:footerReference w:type="first" r:id="rId3"/>
      <w:type w:val="nextPage"/>
      <w:pgSz w:w="12240" w:h="15840"/>
      <w:pgMar w:left="1440" w:right="1440" w:gutter="0" w:header="0" w:top="1440" w:footer="965"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keepNext w:val="true"/>
      <w:keepLines/>
      <w:spacing w:before="0" w:after="240"/>
      <w:jc w:val="center"/>
    </w:pPr>
    <w:rPr>
      <w:b/>
      <w:caps/>
    </w:rPr>
  </w:style>
  <w:style w:type="paragraph" w:styleId="TOC2">
    <w:name w:val="toc 2"/>
    <w:basedOn w:val="Normal"/>
    <w:next w:val="Normal"/>
    <w:pPr>
      <w:keepNext w:val="true"/>
      <w:keepLines/>
      <w:spacing w:before="0" w:after="240"/>
      <w:ind w:hanging="720" w:start="720" w:end="0"/>
    </w:pPr>
    <w:rPr>
      <w:b/>
    </w:rPr>
  </w:style>
  <w:style w:type="paragraph" w:styleId="TOC3">
    <w:name w:val="toc 3"/>
    <w:basedOn w:val="Normal"/>
    <w:next w:val="Normal"/>
    <w:pPr>
      <w:keepNext w:val="true"/>
      <w:keepLines/>
      <w:spacing w:before="0" w:after="240"/>
      <w:ind w:hanging="720" w:start="1440" w:end="0"/>
    </w:pPr>
    <w:rPr>
      <w:b/>
    </w:rPr>
  </w:style>
  <w:style w:type="paragraph" w:styleId="TOC4">
    <w:name w:val="toc 4"/>
    <w:basedOn w:val="Normal"/>
    <w:next w:val="Normal"/>
    <w:pPr>
      <w:keepNext w:val="true"/>
      <w:keepLines/>
      <w:spacing w:before="0" w:after="240"/>
      <w:ind w:hanging="720" w:start="2160" w:end="0"/>
    </w:pPr>
    <w:rPr>
      <w:b/>
    </w:rPr>
  </w:style>
  <w:style w:type="paragraph" w:styleId="TOC5">
    <w:name w:val="toc 5"/>
    <w:basedOn w:val="Normal"/>
    <w:next w:val="Normal"/>
    <w:pPr>
      <w:keepNext w:val="true"/>
      <w:keepLines/>
      <w:spacing w:before="0" w:after="240"/>
      <w:ind w:hanging="720" w:start="2880" w:end="0"/>
    </w:pPr>
    <w:rPr>
      <w:b/>
    </w:rPr>
  </w:style>
  <w:style w:type="paragraph" w:styleId="TOC6">
    <w:name w:val="toc 6"/>
    <w:basedOn w:val="Normal"/>
    <w:next w:val="Normal"/>
    <w:pPr>
      <w:keepNext w:val="true"/>
      <w:keepLines/>
      <w:spacing w:before="0" w:after="240"/>
      <w:ind w:hanging="720" w:start="3600" w:end="0"/>
    </w:pPr>
    <w:rPr>
      <w:b/>
    </w:rPr>
  </w:style>
  <w:style w:type="paragraph" w:styleId="TOC7">
    <w:name w:val="toc 7"/>
    <w:basedOn w:val="Normal"/>
    <w:next w:val="Normal"/>
    <w:pPr>
      <w:keepNext w:val="true"/>
      <w:keepLines/>
      <w:spacing w:before="0" w:after="240"/>
      <w:ind w:hanging="720" w:start="4320" w:end="0"/>
    </w:pPr>
    <w:rPr>
      <w:b/>
    </w:rPr>
  </w:style>
  <w:style w:type="paragraph" w:styleId="TOC8">
    <w:name w:val="toc 8"/>
    <w:basedOn w:val="Normal"/>
    <w:next w:val="Normal"/>
    <w:pPr>
      <w:keepNext w:val="true"/>
      <w:keepLines/>
      <w:spacing w:before="0" w:after="240"/>
      <w:ind w:hanging="720" w:start="5040" w:end="0"/>
    </w:pPr>
    <w:rPr>
      <w:b/>
    </w:rPr>
  </w:style>
  <w:style w:type="paragraph" w:styleId="TOC9">
    <w:name w:val="toc 9"/>
    <w:basedOn w:val="Normal"/>
    <w:next w:val="Normal"/>
    <w:pPr>
      <w:keepNext w:val="true"/>
      <w:keepLines/>
      <w:spacing w:before="0" w:after="240"/>
      <w:ind w:hanging="720" w:start="5760" w:end="0"/>
    </w:pPr>
    <w:rPr>
      <w:b/>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DocumentLabel">
    <w:name w:val="Document Label"/>
    <w:basedOn w:val="Normal"/>
    <w:next w:val="Normal"/>
    <w:qFormat/>
    <w:pPr>
      <w:keepNext w:val="true"/>
      <w:keepLines/>
      <w:spacing w:lineRule="atLeast" w:line="240" w:before="400" w:after="120"/>
      <w:ind w:hanging="0" w:start="-840" w:end="0"/>
      <w:jc w:val="start"/>
    </w:pPr>
    <w:rPr>
      <w:rFonts w:ascii="Arial Black" w:hAnsi="Arial Black" w:cs="Arial Black"/>
      <w:spacing w:val="-5"/>
      <w:kern w:val="2"/>
      <w:sz w:val="96"/>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jc w:val="start"/>
    </w:pPr>
    <w:rPr>
      <w:rFonts w:ascii="Arial Black" w:hAnsi="Arial Black" w:cs="Arial Black"/>
      <w:spacing w:val="-15"/>
      <w:position w:val="-2"/>
      <w:sz w:val="32"/>
    </w:rPr>
  </w:style>
  <w:style w:type="paragraph" w:styleId="BodyTextIndent">
    <w:name w:val="Body Text Indent"/>
    <w:basedOn w:val="Normal"/>
    <w:pPr>
      <w:ind w:hanging="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Interoffice Memo.dot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2001-07-16T15:31:00Z</dcterms:created>
  <dc:creator>Winona Howard</dc:creator>
  <dc:description/>
  <dc:language>en-CA</dc:language>
  <cp:lastModifiedBy>Winona Howard</cp:lastModifiedBy>
  <cp:lastPrinted>2001-07-16T14:28:00Z</cp:lastPrinted>
  <dcterms:modified xsi:type="dcterms:W3CDTF">2001-07-16T16:01:00Z</dcterms:modified>
  <cp:revision>2</cp:revision>
  <dc:subject/>
  <dc:title>Wright &amp; Talisman, P</dc:title>
</cp:coreProperties>
</file>