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lineRule="auto" w:line="240"/>
        <w:rPr>
          <w:b/>
          <w:bCs/>
          <w:sz w:val="44"/>
          <w:szCs w:val="44"/>
        </w:rPr>
      </w:pPr>
      <w:r>
        <w:rPr>
          <w:b/>
          <w:bCs/>
          <w:sz w:val="44"/>
          <w:szCs w:val="44"/>
        </w:rPr>
        <w:t>WSPP PRESENTATION</w:t>
      </w:r>
    </w:p>
    <w:p>
      <w:pPr>
        <w:pStyle w:val="Heading"/>
        <w:rPr>
          <w:b/>
          <w:bCs/>
          <w:sz w:val="44"/>
          <w:szCs w:val="44"/>
        </w:rPr>
      </w:pPr>
      <w:r>
        <w:rPr>
          <w:b/>
          <w:bCs/>
          <w:sz w:val="44"/>
          <w:szCs w:val="44"/>
        </w:rPr>
        <w:t>1-28-00 MEETING</w:t>
      </w:r>
    </w:p>
    <w:p>
      <w:pPr>
        <w:pStyle w:val="Subtitle"/>
        <w:numPr>
          <w:ilvl w:val="0"/>
          <w:numId w:val="2"/>
        </w:numPr>
        <w:tabs>
          <w:tab w:val="clear" w:pos="720"/>
          <w:tab w:val="left" w:pos="0" w:leader="none"/>
        </w:tabs>
        <w:spacing w:lineRule="auto" w:line="240" w:before="0" w:after="240"/>
        <w:ind w:hanging="1440" w:start="1440" w:end="0"/>
        <w:rPr>
          <w:b/>
          <w:bCs/>
          <w:sz w:val="44"/>
          <w:szCs w:val="44"/>
        </w:rPr>
      </w:pPr>
      <w:r>
        <w:rPr>
          <w:b/>
          <w:bCs/>
          <w:sz w:val="44"/>
          <w:szCs w:val="44"/>
        </w:rPr>
        <w:t>REVISIONS TAKING EFFECT ON      2-1-00</w:t>
      </w:r>
    </w:p>
    <w:p>
      <w:pPr>
        <w:pStyle w:val="Normal"/>
        <w:numPr>
          <w:ilvl w:val="0"/>
          <w:numId w:val="0"/>
        </w:numPr>
        <w:spacing w:lineRule="auto" w:line="480"/>
        <w:ind w:hanging="0" w:start="720" w:end="0"/>
        <w:rPr>
          <w:sz w:val="44"/>
          <w:szCs w:val="44"/>
        </w:rPr>
      </w:pPr>
      <w:r>
        <w:rPr>
          <w:sz w:val="44"/>
          <w:szCs w:val="44"/>
        </w:rPr>
        <w:t>December 3, 1999 filing.</w:t>
      </w:r>
    </w:p>
    <w:p>
      <w:pPr>
        <w:pStyle w:val="Normal"/>
        <w:numPr>
          <w:ilvl w:val="0"/>
          <w:numId w:val="0"/>
        </w:numPr>
        <w:ind w:hanging="0" w:start="720" w:end="0"/>
        <w:rPr>
          <w:sz w:val="44"/>
          <w:szCs w:val="44"/>
        </w:rPr>
      </w:pPr>
      <w:r>
        <w:rPr>
          <w:sz w:val="44"/>
          <w:szCs w:val="44"/>
        </w:rPr>
        <w:t>Principal changes: (a) options language added; (b) audit rights for two year period added; (c) waiver of consequential and punitive damages made absolute (unless parties agree otherwise; (d) netting language added to clarify that the netting will involve the netting of all payments in the same calendar month; (e) limit on arbitration awards tied to damages provisions in agreement added; (f) language making amendments self-executing and describing implementation of amendments added; (g) Service Schedule C language on interruptibility of firm transactions revised.</w:t>
      </w:r>
    </w:p>
    <w:p>
      <w:pPr>
        <w:pStyle w:val="Normal"/>
        <w:numPr>
          <w:ilvl w:val="0"/>
          <w:numId w:val="0"/>
        </w:numPr>
        <w:ind w:hanging="0" w:start="720" w:end="0"/>
        <w:rPr>
          <w:sz w:val="44"/>
          <w:szCs w:val="44"/>
        </w:rPr>
      </w:pPr>
      <w:r>
        <w:rPr>
          <w:sz w:val="44"/>
          <w:szCs w:val="44"/>
        </w:rPr>
        <w:t>FERC accepted without modification.</w:t>
      </w:r>
    </w:p>
    <w:p>
      <w:pPr>
        <w:pStyle w:val="Normal"/>
        <w:numPr>
          <w:ilvl w:val="0"/>
          <w:numId w:val="0"/>
        </w:numPr>
        <w:ind w:hanging="0" w:start="720" w:end="0"/>
        <w:rPr>
          <w:sz w:val="44"/>
          <w:szCs w:val="44"/>
        </w:rPr>
      </w:pPr>
      <w:r>
        <w:rPr>
          <w:sz w:val="44"/>
          <w:szCs w:val="44"/>
        </w:rPr>
      </w:r>
      <w:r>
        <w:br w:type="page"/>
      </w:r>
    </w:p>
    <w:p>
      <w:pPr>
        <w:pStyle w:val="Normal"/>
        <w:numPr>
          <w:ilvl w:val="0"/>
          <w:numId w:val="2"/>
        </w:numPr>
        <w:tabs>
          <w:tab w:val="clear" w:pos="720"/>
          <w:tab w:val="left" w:pos="0" w:leader="none"/>
        </w:tabs>
        <w:spacing w:before="0" w:after="240"/>
        <w:ind w:hanging="1440" w:start="1440" w:end="0"/>
        <w:rPr>
          <w:b/>
          <w:bCs/>
          <w:sz w:val="44"/>
          <w:szCs w:val="44"/>
        </w:rPr>
      </w:pPr>
      <w:r>
        <w:rPr>
          <w:b/>
          <w:bCs/>
          <w:sz w:val="44"/>
          <w:szCs w:val="44"/>
        </w:rPr>
        <w:t>PRIOR ACTION ON FIRM PRODUCT ISSUE</w:t>
      </w:r>
    </w:p>
    <w:p>
      <w:pPr>
        <w:pStyle w:val="Normal"/>
        <w:numPr>
          <w:ilvl w:val="0"/>
          <w:numId w:val="0"/>
        </w:numPr>
        <w:ind w:hanging="0" w:start="720" w:end="0"/>
        <w:rPr>
          <w:sz w:val="44"/>
          <w:szCs w:val="44"/>
        </w:rPr>
      </w:pPr>
      <w:r>
        <w:rPr>
          <w:sz w:val="44"/>
          <w:szCs w:val="44"/>
        </w:rPr>
        <w:t xml:space="preserve">Contracting group and Executive Committee were unable to reach agreement on how firm product definitions should be changed.  Appear to be two basic groups.  One group wants clear language imposing obligation that firm products be supported by reserves (though there appears to be some disagreement as types of reserves and who bears the obligation).  That group wants physical power to be delivered, not money and asserts that the damages provisions may be inadequate.  The other group does not want to refer to reserves in the definition of firm products.  That group believes that the damages provisions are adequate.  Other concerns raised were to develop a product definition that everyone understood and some would prefer one definition in order to reduce risk that some transactions scheduled as firm today will not be scheduled as non-firm in the future.  </w:t>
      </w:r>
      <w:r>
        <w:br w:type="page"/>
      </w:r>
    </w:p>
    <w:p>
      <w:pPr>
        <w:pStyle w:val="Normal"/>
        <w:numPr>
          <w:ilvl w:val="0"/>
          <w:numId w:val="2"/>
        </w:numPr>
        <w:tabs>
          <w:tab w:val="clear" w:pos="720"/>
          <w:tab w:val="left" w:pos="0" w:leader="none"/>
        </w:tabs>
        <w:spacing w:before="0" w:after="240"/>
        <w:ind w:hanging="1440" w:start="1440" w:end="0"/>
        <w:rPr>
          <w:b/>
          <w:bCs/>
          <w:sz w:val="44"/>
          <w:szCs w:val="44"/>
        </w:rPr>
      </w:pPr>
      <w:r>
        <w:rPr>
          <w:b/>
          <w:bCs/>
          <w:sz w:val="44"/>
          <w:szCs w:val="44"/>
        </w:rPr>
        <w:t>NEED FOR IMMEDIATE ACTION</w:t>
      </w:r>
    </w:p>
    <w:p>
      <w:pPr>
        <w:pStyle w:val="Normal"/>
        <w:numPr>
          <w:ilvl w:val="0"/>
          <w:numId w:val="0"/>
        </w:numPr>
        <w:ind w:hanging="0" w:start="720" w:end="0"/>
        <w:rPr>
          <w:sz w:val="44"/>
          <w:szCs w:val="44"/>
        </w:rPr>
      </w:pPr>
      <w:r>
        <w:rPr>
          <w:sz w:val="44"/>
          <w:szCs w:val="44"/>
        </w:rPr>
        <w:t xml:space="preserve">There is not a clear understanding of the firm product today as shown by the discussions.  Also, WSPP Operating Procedure 3 contains language which no longer makes sense given changes to the WSPP Agreement and also contains no real definition of the C2 product.  </w:t>
      </w:r>
    </w:p>
    <w:p>
      <w:pPr>
        <w:pStyle w:val="Normal"/>
        <w:numPr>
          <w:ilvl w:val="0"/>
          <w:numId w:val="0"/>
        </w:numPr>
        <w:ind w:hanging="0" w:start="720" w:end="0"/>
        <w:rPr>
          <w:sz w:val="44"/>
          <w:szCs w:val="44"/>
        </w:rPr>
      </w:pPr>
      <w:r>
        <w:rPr>
          <w:sz w:val="44"/>
          <w:szCs w:val="44"/>
        </w:rPr>
      </w:r>
    </w:p>
    <w:p>
      <w:pPr>
        <w:pStyle w:val="Normal"/>
        <w:numPr>
          <w:ilvl w:val="0"/>
          <w:numId w:val="2"/>
        </w:numPr>
        <w:tabs>
          <w:tab w:val="clear" w:pos="720"/>
          <w:tab w:val="left" w:pos="0" w:leader="none"/>
        </w:tabs>
        <w:spacing w:before="0" w:after="240"/>
        <w:ind w:hanging="1440" w:start="1440" w:end="0"/>
        <w:rPr>
          <w:b/>
          <w:bCs/>
          <w:sz w:val="44"/>
          <w:szCs w:val="44"/>
        </w:rPr>
      </w:pPr>
      <w:r>
        <w:rPr>
          <w:b/>
          <w:bCs/>
          <w:sz w:val="44"/>
          <w:szCs w:val="44"/>
        </w:rPr>
        <w:t>OPTIONS</w:t>
      </w:r>
    </w:p>
    <w:p>
      <w:pPr>
        <w:pStyle w:val="Normal"/>
        <w:numPr>
          <w:ilvl w:val="0"/>
          <w:numId w:val="0"/>
        </w:numPr>
        <w:ind w:hanging="0" w:start="720" w:end="0"/>
        <w:rPr>
          <w:sz w:val="44"/>
          <w:szCs w:val="44"/>
        </w:rPr>
      </w:pPr>
      <w:r>
        <w:rPr>
          <w:sz w:val="44"/>
          <w:szCs w:val="44"/>
        </w:rPr>
        <w:t xml:space="preserve">Attempt again to reach agreement on a single firm product definition.  </w:t>
      </w:r>
    </w:p>
    <w:p>
      <w:pPr>
        <w:pStyle w:val="Normal"/>
        <w:numPr>
          <w:ilvl w:val="0"/>
          <w:numId w:val="0"/>
        </w:numPr>
        <w:ind w:hanging="0" w:start="720" w:end="0"/>
        <w:rPr>
          <w:sz w:val="44"/>
          <w:szCs w:val="44"/>
        </w:rPr>
      </w:pPr>
      <w:r>
        <w:rPr>
          <w:sz w:val="44"/>
          <w:szCs w:val="44"/>
        </w:rPr>
        <w:t>Or, revise Operating Procedure 3 to reflect the changes to the WSPP Agreement and the concerns raised by the members.</w:t>
      </w:r>
    </w:p>
    <w:p>
      <w:pPr>
        <w:pStyle w:val="Normal"/>
        <w:numPr>
          <w:ilvl w:val="0"/>
          <w:numId w:val="0"/>
        </w:numPr>
        <w:ind w:hanging="0" w:start="720" w:end="0"/>
        <w:rPr>
          <w:sz w:val="44"/>
          <w:szCs w:val="44"/>
        </w:rPr>
      </w:pPr>
      <w:r>
        <w:rPr>
          <w:sz w:val="44"/>
          <w:szCs w:val="44"/>
        </w:rPr>
      </w:r>
    </w:p>
    <w:p>
      <w:pPr>
        <w:pStyle w:val="Normal"/>
        <w:numPr>
          <w:ilvl w:val="0"/>
          <w:numId w:val="2"/>
        </w:numPr>
        <w:tabs>
          <w:tab w:val="clear" w:pos="720"/>
          <w:tab w:val="left" w:pos="0" w:leader="none"/>
        </w:tabs>
        <w:spacing w:before="0" w:after="240"/>
        <w:ind w:hanging="1440" w:start="1440" w:end="0"/>
        <w:rPr>
          <w:b/>
          <w:bCs/>
          <w:sz w:val="44"/>
          <w:szCs w:val="44"/>
        </w:rPr>
      </w:pPr>
      <w:r>
        <w:rPr>
          <w:b/>
          <w:bCs/>
          <w:sz w:val="44"/>
          <w:szCs w:val="44"/>
        </w:rPr>
        <w:t>REVISED OPERATING PROCEDURE 3</w:t>
      </w:r>
    </w:p>
    <w:p>
      <w:pPr>
        <w:pStyle w:val="Normal"/>
        <w:numPr>
          <w:ilvl w:val="0"/>
          <w:numId w:val="0"/>
        </w:numPr>
        <w:ind w:hanging="0" w:start="720" w:end="0"/>
        <w:rPr>
          <w:sz w:val="44"/>
          <w:szCs w:val="44"/>
        </w:rPr>
      </w:pPr>
      <w:r>
        <w:rPr>
          <w:sz w:val="44"/>
          <w:szCs w:val="44"/>
        </w:rPr>
        <w:t>In the following, I have included in the definition of SSC C1 obligations regarding reserves and scheduling as firm.  SSC C2 may not include those obligations.</w:t>
      </w:r>
    </w:p>
    <w:p>
      <w:pPr>
        <w:pStyle w:val="Normal"/>
        <w:numPr>
          <w:ilvl w:val="0"/>
          <w:numId w:val="0"/>
        </w:numPr>
        <w:ind w:hanging="0" w:start="720" w:end="0"/>
        <w:rPr>
          <w:sz w:val="44"/>
          <w:szCs w:val="44"/>
        </w:rPr>
      </w:pPr>
      <w:r>
        <w:rPr>
          <w:sz w:val="44"/>
          <w:szCs w:val="44"/>
        </w:rPr>
        <w:t>Purpose</w:t>
      </w:r>
    </w:p>
    <w:p>
      <w:pPr>
        <w:pStyle w:val="Normal"/>
        <w:numPr>
          <w:ilvl w:val="0"/>
          <w:numId w:val="0"/>
        </w:numPr>
        <w:ind w:hanging="0" w:start="720" w:end="0"/>
        <w:rPr>
          <w:sz w:val="44"/>
          <w:szCs w:val="44"/>
        </w:rPr>
      </w:pPr>
      <w:r>
        <w:rPr>
          <w:sz w:val="44"/>
          <w:szCs w:val="44"/>
        </w:rPr>
        <w:tab/>
        <w:t>This Procedure clarifies transactions arranged in accordance with Service Schedule C of the Western Systems Power Pool Agreement.</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b/>
          <w:bCs/>
          <w:sz w:val="44"/>
          <w:szCs w:val="44"/>
        </w:rPr>
      </w:pPr>
      <w:r>
        <w:rPr>
          <w:b/>
          <w:bCs/>
          <w:sz w:val="44"/>
          <w:szCs w:val="44"/>
        </w:rPr>
        <w:t>Definitions</w:t>
      </w:r>
    </w:p>
    <w:p>
      <w:pPr>
        <w:pStyle w:val="Normal"/>
        <w:numPr>
          <w:ilvl w:val="0"/>
          <w:numId w:val="0"/>
        </w:numPr>
        <w:ind w:hanging="0" w:start="720" w:end="0"/>
        <w:rPr>
          <w:b/>
          <w:bCs/>
          <w:sz w:val="44"/>
          <w:szCs w:val="44"/>
        </w:rPr>
      </w:pPr>
      <w:r>
        <w:rPr>
          <w:b/>
          <w:bCs/>
          <w:sz w:val="44"/>
          <w:szCs w:val="44"/>
        </w:rPr>
      </w:r>
    </w:p>
    <w:p>
      <w:pPr>
        <w:pStyle w:val="Normal"/>
        <w:numPr>
          <w:ilvl w:val="0"/>
          <w:numId w:val="0"/>
        </w:numPr>
        <w:ind w:hanging="0" w:start="720" w:end="0"/>
        <w:rPr>
          <w:sz w:val="44"/>
          <w:szCs w:val="44"/>
        </w:rPr>
      </w:pPr>
      <w:r>
        <w:rPr>
          <w:sz w:val="44"/>
          <w:szCs w:val="44"/>
        </w:rPr>
        <w:tab/>
        <w:t>The defined terms used herein are defined in the WSPP Agreement except for those additional terms defined below.</w:t>
      </w:r>
    </w:p>
    <w:p>
      <w:pPr>
        <w:pStyle w:val="Normal"/>
        <w:numPr>
          <w:ilvl w:val="0"/>
          <w:numId w:val="0"/>
        </w:numPr>
        <w:ind w:hanging="0" w:start="720" w:end="0"/>
        <w:rPr>
          <w:sz w:val="44"/>
          <w:szCs w:val="44"/>
        </w:rPr>
      </w:pPr>
      <w:r>
        <w:rPr>
          <w:sz w:val="44"/>
          <w:szCs w:val="44"/>
        </w:rPr>
        <w:t>Remedies-The mechanism by which the Parties agree to compensate each other should a Party fail to deliver or fail to take the power as provided in Section 21.3 of the Agreement or in a Confirmation Agreement.</w:t>
      </w:r>
    </w:p>
    <w:p>
      <w:pPr>
        <w:pStyle w:val="Normal"/>
        <w:numPr>
          <w:ilvl w:val="0"/>
          <w:numId w:val="0"/>
        </w:numPr>
        <w:ind w:hanging="0" w:start="720" w:end="0"/>
        <w:rPr>
          <w:sz w:val="44"/>
          <w:szCs w:val="44"/>
        </w:rPr>
      </w:pPr>
      <w:r>
        <w:rPr>
          <w:sz w:val="44"/>
          <w:szCs w:val="44"/>
        </w:rPr>
        <w:t>SSC-Service Schedule C of the Agreement.</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b/>
          <w:bCs/>
          <w:sz w:val="44"/>
          <w:szCs w:val="44"/>
        </w:rPr>
      </w:pPr>
      <w:r>
        <w:rPr>
          <w:b/>
          <w:bCs/>
          <w:sz w:val="44"/>
          <w:szCs w:val="44"/>
        </w:rPr>
        <w:t>Procedure</w:t>
      </w:r>
    </w:p>
    <w:p>
      <w:pPr>
        <w:pStyle w:val="Normal"/>
        <w:numPr>
          <w:ilvl w:val="0"/>
          <w:numId w:val="0"/>
        </w:numPr>
        <w:ind w:hanging="0" w:start="720" w:end="0"/>
        <w:rPr>
          <w:b/>
          <w:bCs/>
          <w:sz w:val="44"/>
          <w:szCs w:val="44"/>
        </w:rPr>
      </w:pPr>
      <w:r>
        <w:rPr>
          <w:b/>
          <w:bCs/>
          <w:sz w:val="44"/>
          <w:szCs w:val="44"/>
        </w:rPr>
      </w:r>
    </w:p>
    <w:p>
      <w:pPr>
        <w:pStyle w:val="Normal"/>
        <w:numPr>
          <w:ilvl w:val="0"/>
          <w:numId w:val="0"/>
        </w:numPr>
        <w:ind w:hanging="0" w:start="720" w:end="0"/>
        <w:rPr>
          <w:sz w:val="44"/>
          <w:szCs w:val="44"/>
        </w:rPr>
      </w:pPr>
      <w:r>
        <w:rPr>
          <w:sz w:val="44"/>
          <w:szCs w:val="44"/>
        </w:rPr>
        <w:tab/>
        <w:t>This procedure establishes two types of transactions under SSC: C1 and C2.  In entering into SSC transactions under the Agreement, Seller shall indicate whether it is selling C1 or C2 power.</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b/>
          <w:bCs/>
          <w:sz w:val="44"/>
          <w:szCs w:val="44"/>
        </w:rPr>
      </w:pPr>
      <w:r>
        <w:rPr>
          <w:b/>
          <w:bCs/>
          <w:sz w:val="44"/>
          <w:szCs w:val="44"/>
        </w:rPr>
        <w:t>SSC C1-Firm Physical Power</w:t>
      </w:r>
    </w:p>
    <w:p>
      <w:pPr>
        <w:pStyle w:val="Normal"/>
        <w:numPr>
          <w:ilvl w:val="0"/>
          <w:numId w:val="0"/>
        </w:numPr>
        <w:ind w:hanging="0" w:start="720" w:end="0"/>
        <w:rPr>
          <w:b/>
          <w:bCs/>
          <w:sz w:val="44"/>
          <w:szCs w:val="44"/>
        </w:rPr>
      </w:pPr>
      <w:r>
        <w:rPr>
          <w:b/>
          <w:bCs/>
          <w:sz w:val="44"/>
          <w:szCs w:val="44"/>
        </w:rPr>
      </w:r>
    </w:p>
    <w:p>
      <w:pPr>
        <w:pStyle w:val="Normal"/>
        <w:numPr>
          <w:ilvl w:val="0"/>
          <w:numId w:val="0"/>
        </w:numPr>
        <w:ind w:hanging="0" w:start="720" w:end="0"/>
        <w:rPr>
          <w:sz w:val="44"/>
          <w:szCs w:val="44"/>
        </w:rPr>
      </w:pPr>
      <w:r>
        <w:rPr>
          <w:sz w:val="44"/>
          <w:szCs w:val="44"/>
        </w:rPr>
        <w:tab/>
        <w:t>SSC C1 transactions are for the delivery and receipt of firm physical power.  SSC C1 transactions must be backed with “Seller’s capacity reserves” (owned or contracted for) as described in Section C-3.3 of SSC.  SSC C1 power also is power that is backed by operating reserves which meet the reliability requirements of the Control Area at the point of delivery. [Which party is responsible?]</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sz w:val="44"/>
          <w:szCs w:val="44"/>
        </w:rPr>
      </w:pPr>
      <w:r>
        <w:rPr>
          <w:sz w:val="44"/>
          <w:szCs w:val="44"/>
        </w:rPr>
        <w:tab/>
        <w:t>Seller shall be responsible for taking the steps necessary for the SSC C1 transactions to be scheduled as firm power at the time of delivery consistent with the most recent rules adopted by the applicable NERC regional reliability councils.  Recall provisions for a specific schedule cannot be any longer than the shortest recall provision in the delivery chain or that schedule.  For example, if a transaction is scheduled with a one-hour recall provision, the overall schedule must be identified as having a one hour recall provision even if all other parties in the delivery chain have a longer recall provision.</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sz w:val="44"/>
          <w:szCs w:val="44"/>
        </w:rPr>
      </w:pPr>
      <w:r>
        <w:rPr>
          <w:sz w:val="44"/>
          <w:szCs w:val="44"/>
        </w:rPr>
        <w:tab/>
        <w:t>Financial Remedies are not a substitute for reserves under SSC C1.  That is, the intent of the SSC C1 product is that the Seller shall deliver firm physical power unless excused consistent with SSC Section C-3.8 and Seller shall plan or intend on meeting its obligations by payment of financial Remedies unless it has exhausted all other means of delivering the firm power.</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b/>
          <w:bCs/>
          <w:sz w:val="44"/>
          <w:szCs w:val="44"/>
        </w:rPr>
      </w:pPr>
      <w:r>
        <w:rPr>
          <w:b/>
          <w:bCs/>
          <w:sz w:val="44"/>
          <w:szCs w:val="44"/>
        </w:rPr>
        <w:t>SSC C2-OTHER FIRM POWER</w:t>
      </w:r>
    </w:p>
    <w:p>
      <w:pPr>
        <w:pStyle w:val="Normal"/>
        <w:numPr>
          <w:ilvl w:val="0"/>
          <w:numId w:val="0"/>
        </w:numPr>
        <w:ind w:hanging="0" w:start="720" w:end="0"/>
        <w:rPr>
          <w:b/>
          <w:bCs/>
          <w:sz w:val="44"/>
          <w:szCs w:val="44"/>
        </w:rPr>
      </w:pPr>
      <w:r>
        <w:rPr>
          <w:b/>
          <w:bCs/>
          <w:sz w:val="44"/>
          <w:szCs w:val="44"/>
        </w:rPr>
      </w:r>
    </w:p>
    <w:p>
      <w:pPr>
        <w:pStyle w:val="Normal"/>
        <w:numPr>
          <w:ilvl w:val="0"/>
          <w:numId w:val="0"/>
        </w:numPr>
        <w:ind w:hanging="0" w:start="720" w:end="0"/>
        <w:rPr>
          <w:sz w:val="44"/>
          <w:szCs w:val="44"/>
        </w:rPr>
      </w:pPr>
      <w:r>
        <w:rPr>
          <w:sz w:val="44"/>
          <w:szCs w:val="44"/>
        </w:rPr>
        <w:tab/>
        <w:t>Firm transactions that do not meet the requirements of SSC C1 but that are transactions under SSC shall be transacted as SSC C2.  These SSC C2 transactions include SSC transactions in which (1) the Seller does not commit that the sale will be backed by its capacity reserves, but instead is a “firm energy transaction” as provided in Section C-3.4 of SSC; (2) the requirement that the transactions be backed by “operating reserves” provided above is not part of the definition of the SSC C2 product; and/or (3) the Seller does not assume the obligation for taking the steps necessary for the transaction to be scheduled as firm power as also provided above.</w:t>
      </w:r>
    </w:p>
    <w:p>
      <w:pPr>
        <w:pStyle w:val="Normal"/>
        <w:numPr>
          <w:ilvl w:val="0"/>
          <w:numId w:val="0"/>
        </w:numPr>
        <w:ind w:hanging="0" w:start="720" w:end="0"/>
        <w:rPr>
          <w:sz w:val="44"/>
          <w:szCs w:val="44"/>
        </w:rPr>
      </w:pPr>
      <w:r>
        <w:rPr>
          <w:sz w:val="44"/>
          <w:szCs w:val="44"/>
        </w:rPr>
      </w:r>
    </w:p>
    <w:p>
      <w:pPr>
        <w:pStyle w:val="Normal"/>
        <w:numPr>
          <w:ilvl w:val="0"/>
          <w:numId w:val="2"/>
        </w:numPr>
        <w:tabs>
          <w:tab w:val="clear" w:pos="720"/>
          <w:tab w:val="left" w:pos="0" w:leader="none"/>
        </w:tabs>
        <w:spacing w:before="0" w:after="240"/>
        <w:ind w:hanging="1440" w:start="1440" w:end="0"/>
        <w:rPr>
          <w:b/>
          <w:bCs/>
          <w:sz w:val="44"/>
          <w:szCs w:val="44"/>
        </w:rPr>
      </w:pPr>
      <w:r>
        <w:rPr>
          <w:b/>
          <w:bCs/>
          <w:sz w:val="44"/>
          <w:szCs w:val="44"/>
        </w:rPr>
        <w:t>IF REVISION TO OPERATING PROCEDURE IS NOT ACCEPTED</w:t>
      </w:r>
    </w:p>
    <w:p>
      <w:pPr>
        <w:pStyle w:val="Normal"/>
        <w:numPr>
          <w:ilvl w:val="0"/>
          <w:numId w:val="0"/>
        </w:numPr>
        <w:ind w:hanging="0" w:start="720" w:end="0"/>
        <w:rPr>
          <w:sz w:val="44"/>
          <w:szCs w:val="44"/>
        </w:rPr>
      </w:pPr>
      <w:r>
        <w:rPr>
          <w:sz w:val="44"/>
          <w:szCs w:val="44"/>
        </w:rPr>
        <w:t>Should reserves be included in the definition of a firm product?  If so, which reserves (operating, planning)?</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sz w:val="44"/>
          <w:szCs w:val="44"/>
        </w:rPr>
      </w:pPr>
      <w:r>
        <w:rPr>
          <w:sz w:val="44"/>
          <w:szCs w:val="44"/>
        </w:rPr>
        <w:t>Who should have the obligation for the reserves?</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sz w:val="44"/>
          <w:szCs w:val="44"/>
        </w:rPr>
      </w:pPr>
      <w:r>
        <w:rPr>
          <w:sz w:val="44"/>
          <w:szCs w:val="44"/>
        </w:rPr>
        <w:t>Should Seller have the obligation to ensure that the product is scheduled as firm?</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sz w:val="44"/>
          <w:szCs w:val="44"/>
        </w:rPr>
      </w:pPr>
      <w:r>
        <w:rPr>
          <w:sz w:val="44"/>
          <w:szCs w:val="44"/>
        </w:rPr>
        <w:t>Should additional damages be added to ensure physical delivery?</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sz w:val="44"/>
          <w:szCs w:val="44"/>
        </w:rPr>
      </w:pPr>
      <w:r>
        <w:rPr>
          <w:sz w:val="44"/>
          <w:szCs w:val="44"/>
        </w:rPr>
        <w:t>Should there be multiple products?  Should reserves be separate?</w:t>
      </w:r>
    </w:p>
    <w:p>
      <w:pPr>
        <w:pStyle w:val="Normal"/>
        <w:numPr>
          <w:ilvl w:val="0"/>
          <w:numId w:val="2"/>
        </w:numPr>
        <w:tabs>
          <w:tab w:val="clear" w:pos="720"/>
          <w:tab w:val="left" w:pos="0" w:leader="none"/>
        </w:tabs>
        <w:spacing w:before="0" w:after="240"/>
        <w:ind w:hanging="1440" w:start="1440" w:end="0"/>
        <w:rPr>
          <w:b/>
          <w:bCs/>
          <w:sz w:val="44"/>
          <w:szCs w:val="44"/>
        </w:rPr>
      </w:pPr>
      <w:r>
        <w:rPr>
          <w:b/>
          <w:bCs/>
          <w:sz w:val="44"/>
          <w:szCs w:val="44"/>
        </w:rPr>
        <w:t>SALES INTO MARKET</w:t>
      </w:r>
    </w:p>
    <w:p>
      <w:pPr>
        <w:pStyle w:val="Normal"/>
        <w:numPr>
          <w:ilvl w:val="0"/>
          <w:numId w:val="0"/>
        </w:numPr>
        <w:ind w:hanging="0" w:start="720" w:end="0"/>
        <w:rPr>
          <w:sz w:val="44"/>
          <w:szCs w:val="44"/>
        </w:rPr>
      </w:pPr>
      <w:r>
        <w:rPr>
          <w:sz w:val="44"/>
          <w:szCs w:val="44"/>
        </w:rPr>
        <w:t>EEI has been developing products governing sales into markets.  Should WSPP do the same?</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sz w:val="44"/>
          <w:szCs w:val="44"/>
        </w:rPr>
      </w:pPr>
      <w:r>
        <w:rPr>
          <w:sz w:val="44"/>
          <w:szCs w:val="44"/>
        </w:rPr>
        <w:t>Are these new products or are they simply changes to terms such as the delivery point and assumption of risk from the delivery point?</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sz w:val="44"/>
          <w:szCs w:val="44"/>
        </w:rPr>
      </w:pPr>
      <w:r>
        <w:rPr>
          <w:sz w:val="44"/>
          <w:szCs w:val="44"/>
        </w:rPr>
        <w:t>If incorporated, should these changes be incorporated as an exhibit to the WSPP Agreement allowing parties to use the language if they choose to use such provisions?</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sz w:val="44"/>
          <w:szCs w:val="44"/>
        </w:rPr>
      </w:pPr>
      <w:r>
        <w:rPr>
          <w:sz w:val="44"/>
          <w:szCs w:val="44"/>
        </w:rPr>
        <w:t>What are the key elements which should be considered?  When does risk transfer?  Who is responsible for transmission and at what point?</w:t>
      </w:r>
    </w:p>
    <w:p>
      <w:pPr>
        <w:pStyle w:val="Normal"/>
        <w:numPr>
          <w:ilvl w:val="0"/>
          <w:numId w:val="0"/>
        </w:numPr>
        <w:ind w:hanging="0" w:start="720" w:end="0"/>
        <w:rPr>
          <w:sz w:val="44"/>
          <w:szCs w:val="44"/>
        </w:rPr>
      </w:pPr>
      <w:r>
        <w:rPr>
          <w:sz w:val="44"/>
          <w:szCs w:val="44"/>
        </w:rPr>
      </w:r>
      <w:r>
        <w:br w:type="page"/>
      </w:r>
    </w:p>
    <w:p>
      <w:pPr>
        <w:pStyle w:val="Normal"/>
        <w:numPr>
          <w:ilvl w:val="0"/>
          <w:numId w:val="2"/>
        </w:numPr>
        <w:tabs>
          <w:tab w:val="clear" w:pos="720"/>
          <w:tab w:val="left" w:pos="0" w:leader="none"/>
        </w:tabs>
        <w:spacing w:before="0" w:after="240"/>
        <w:ind w:hanging="1440" w:start="1440" w:end="0"/>
        <w:rPr>
          <w:b/>
          <w:bCs/>
          <w:sz w:val="44"/>
          <w:szCs w:val="44"/>
        </w:rPr>
      </w:pPr>
      <w:r>
        <w:rPr>
          <w:b/>
          <w:bCs/>
          <w:sz w:val="44"/>
          <w:szCs w:val="44"/>
        </w:rPr>
        <w:t>SIGNIFICANT DIFFERENCES BETWEEN EEI AND WSPP CONTRACTS</w:t>
      </w:r>
    </w:p>
    <w:p>
      <w:pPr>
        <w:pStyle w:val="Normal"/>
        <w:numPr>
          <w:ilvl w:val="0"/>
          <w:numId w:val="0"/>
        </w:numPr>
        <w:ind w:hanging="0" w:start="720" w:end="0"/>
        <w:rPr>
          <w:sz w:val="44"/>
          <w:szCs w:val="44"/>
        </w:rPr>
      </w:pPr>
      <w:r>
        <w:rPr>
          <w:sz w:val="44"/>
          <w:szCs w:val="44"/>
        </w:rPr>
        <w:t>Is it a problem if there are significant differences?  If so, what should be done about it?</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sz w:val="44"/>
          <w:szCs w:val="44"/>
        </w:rPr>
      </w:pPr>
      <w:r>
        <w:rPr>
          <w:sz w:val="44"/>
          <w:szCs w:val="44"/>
        </w:rPr>
        <w:t>Force majeure-EEI Agreement specifically provides that force majeure shall not be based on either (1) the buyer’s loss of markets or inability economically to use or resell the product purchased, or (2) the seller’s loss or failure of supply or ability to sell the product at a price greater than the contract price.  On transmission curtailments, the EEI Agreement does not allow force majeure to be claimed simply because transmission over a specified transmission path is curtailed.  EEI contract also waives force majeure for a particular product.</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sz w:val="44"/>
          <w:szCs w:val="44"/>
        </w:rPr>
      </w:pPr>
      <w:r>
        <w:rPr>
          <w:sz w:val="44"/>
          <w:szCs w:val="44"/>
        </w:rPr>
        <w:t xml:space="preserve">Payments-Payment of disputed amount withheld under EEI contract.  Paid under WSPP Agreement.  Billing disputes are raised within one year under EEI contract versus two years under WSPP Agreement.  </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b/>
          <w:bCs/>
          <w:sz w:val="44"/>
          <w:szCs w:val="44"/>
        </w:rPr>
      </w:pPr>
      <w:r>
        <w:rPr>
          <w:b/>
          <w:bCs/>
          <w:sz w:val="44"/>
          <w:szCs w:val="44"/>
        </w:rPr>
        <w:t>Governing law-EEI is New York while WSPP is Utah.</w:t>
      </w:r>
    </w:p>
    <w:p>
      <w:pPr>
        <w:pStyle w:val="Normal"/>
        <w:numPr>
          <w:ilvl w:val="0"/>
          <w:numId w:val="0"/>
        </w:numPr>
        <w:ind w:hanging="0" w:start="720" w:end="0"/>
        <w:rPr>
          <w:b/>
          <w:bCs/>
          <w:sz w:val="44"/>
          <w:szCs w:val="44"/>
        </w:rPr>
      </w:pPr>
      <w:r>
        <w:rPr>
          <w:b/>
          <w:bCs/>
          <w:sz w:val="44"/>
          <w:szCs w:val="44"/>
        </w:rPr>
      </w:r>
    </w:p>
    <w:p>
      <w:pPr>
        <w:pStyle w:val="Normal"/>
        <w:numPr>
          <w:ilvl w:val="0"/>
          <w:numId w:val="0"/>
        </w:numPr>
        <w:ind w:hanging="0" w:start="720" w:end="0"/>
        <w:rPr>
          <w:sz w:val="44"/>
          <w:szCs w:val="44"/>
        </w:rPr>
      </w:pPr>
      <w:r>
        <w:rPr>
          <w:sz w:val="44"/>
          <w:szCs w:val="44"/>
        </w:rPr>
        <w:t>Termination payments-EEI contract does not contain a detailed calculation method; WSPP Agreement does.</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sz w:val="44"/>
          <w:szCs w:val="44"/>
        </w:rPr>
      </w:pPr>
      <w:r>
        <w:rPr>
          <w:sz w:val="44"/>
          <w:szCs w:val="44"/>
        </w:rPr>
        <w:t>Dispute resolution-Not in EEI contract; WSPP Agreement requires informal resolution for all disputes and binding resolution for calculation issues.</w:t>
      </w:r>
    </w:p>
    <w:p>
      <w:pPr>
        <w:pStyle w:val="Normal"/>
        <w:numPr>
          <w:ilvl w:val="0"/>
          <w:numId w:val="0"/>
        </w:numPr>
        <w:ind w:hanging="0" w:start="720" w:end="0"/>
        <w:rPr>
          <w:sz w:val="44"/>
          <w:szCs w:val="44"/>
        </w:rPr>
      </w:pPr>
      <w:r>
        <w:rPr>
          <w:sz w:val="44"/>
          <w:szCs w:val="44"/>
        </w:rPr>
      </w:r>
    </w:p>
    <w:p>
      <w:pPr>
        <w:pStyle w:val="Normal"/>
        <w:numPr>
          <w:ilvl w:val="0"/>
          <w:numId w:val="0"/>
        </w:numPr>
        <w:ind w:hanging="0" w:start="720" w:end="0"/>
        <w:rPr>
          <w:b/>
          <w:bCs/>
          <w:sz w:val="44"/>
          <w:szCs w:val="44"/>
        </w:rPr>
      </w:pPr>
      <w:r>
        <w:rPr>
          <w:b/>
          <w:bCs/>
          <w:sz w:val="44"/>
          <w:szCs w:val="44"/>
        </w:rPr>
        <w:t>Other?</w:t>
      </w:r>
    </w:p>
    <w:p>
      <w:pPr>
        <w:pStyle w:val="Normal"/>
        <w:numPr>
          <w:ilvl w:val="0"/>
          <w:numId w:val="0"/>
        </w:numPr>
        <w:ind w:hanging="0" w:start="720" w:end="0"/>
        <w:rPr>
          <w:b/>
          <w:bCs/>
          <w:sz w:val="44"/>
          <w:szCs w:val="44"/>
        </w:rPr>
      </w:pPr>
      <w:r>
        <w:rPr>
          <w:b/>
          <w:bCs/>
          <w:sz w:val="44"/>
          <w:szCs w:val="44"/>
        </w:rPr>
      </w:r>
    </w:p>
    <w:p>
      <w:pPr>
        <w:pStyle w:val="Normal"/>
        <w:numPr>
          <w:ilvl w:val="0"/>
          <w:numId w:val="2"/>
        </w:numPr>
        <w:tabs>
          <w:tab w:val="clear" w:pos="720"/>
          <w:tab w:val="left" w:pos="0" w:leader="none"/>
        </w:tabs>
        <w:spacing w:before="0" w:after="240"/>
        <w:ind w:hanging="1440" w:start="1440" w:end="0"/>
        <w:rPr>
          <w:b/>
          <w:bCs/>
          <w:sz w:val="44"/>
          <w:szCs w:val="44"/>
        </w:rPr>
      </w:pPr>
      <w:r>
        <w:rPr>
          <w:b/>
          <w:bCs/>
          <w:sz w:val="44"/>
          <w:szCs w:val="44"/>
        </w:rPr>
        <w:t>OTHER PROPOSED CHANGES</w:t>
      </w:r>
    </w:p>
    <w:p>
      <w:pPr>
        <w:pStyle w:val="Normal"/>
        <w:ind w:start="720" w:end="0"/>
        <w:rPr>
          <w:sz w:val="44"/>
          <w:szCs w:val="44"/>
        </w:rPr>
      </w:pPr>
      <w:r>
        <w:rPr>
          <w:sz w:val="44"/>
          <w:szCs w:val="44"/>
        </w:rPr>
        <w:t>Revise section 10(2) to impose same obligation on Purchaser as on Seller-</w:t>
      </w:r>
    </w:p>
    <w:p>
      <w:pPr>
        <w:pStyle w:val="Normal"/>
        <w:ind w:start="720" w:end="0"/>
        <w:rPr>
          <w:sz w:val="44"/>
          <w:szCs w:val="44"/>
        </w:rPr>
      </w:pPr>
      <w:r>
        <w:rPr>
          <w:sz w:val="44"/>
          <w:szCs w:val="44"/>
        </w:rPr>
      </w:r>
    </w:p>
    <w:p>
      <w:pPr>
        <w:pStyle w:val="Normal"/>
        <w:ind w:start="720" w:end="0"/>
        <w:rPr>
          <w:sz w:val="44"/>
          <w:szCs w:val="44"/>
        </w:rPr>
      </w:pPr>
      <w:r>
        <w:rPr>
          <w:sz w:val="44"/>
          <w:szCs w:val="44"/>
        </w:rPr>
        <w:t>(c )the Party which contracted for such firm transmission services could not after exercising due diligence (I) obtain alternate energy (if Seller) or dispose of delivered energy (if Purchaser) at the delivery point at any price, (ii) obtain alternate transmission services to or from the delivery point or (iii) obtain alternate means of delivering or receiving energy.</w:t>
      </w:r>
    </w:p>
    <w:p>
      <w:pPr>
        <w:pStyle w:val="Normal"/>
        <w:ind w:start="720" w:end="0"/>
        <w:rPr>
          <w:sz w:val="44"/>
          <w:szCs w:val="44"/>
        </w:rPr>
      </w:pPr>
      <w:r>
        <w:rPr>
          <w:sz w:val="44"/>
          <w:szCs w:val="44"/>
        </w:rPr>
      </w:r>
    </w:p>
    <w:p>
      <w:pPr>
        <w:pStyle w:val="Normal"/>
        <w:ind w:start="720" w:end="0"/>
        <w:rPr>
          <w:b/>
          <w:bCs/>
          <w:sz w:val="44"/>
          <w:szCs w:val="44"/>
        </w:rPr>
      </w:pPr>
      <w:r>
        <w:rPr>
          <w:b/>
          <w:bCs/>
          <w:sz w:val="44"/>
          <w:szCs w:val="44"/>
        </w:rPr>
        <w:t>Others?</w:t>
      </w:r>
    </w:p>
    <w:p>
      <w:pPr>
        <w:pStyle w:val="Normal"/>
        <w:ind w:start="720" w:end="0"/>
        <w:rPr>
          <w:b/>
          <w:bCs/>
          <w:sz w:val="44"/>
          <w:szCs w:val="44"/>
        </w:rPr>
      </w:pPr>
      <w:r>
        <w:rPr>
          <w:b/>
          <w:bCs/>
          <w:sz w:val="44"/>
          <w:szCs w:val="44"/>
        </w:rPr>
      </w:r>
    </w:p>
    <w:p>
      <w:pPr>
        <w:pStyle w:val="Normal"/>
        <w:spacing w:before="0" w:after="240"/>
        <w:ind w:hanging="720" w:start="720" w:end="0"/>
        <w:rPr>
          <w:b/>
          <w:bCs/>
          <w:sz w:val="44"/>
          <w:szCs w:val="44"/>
        </w:rPr>
      </w:pPr>
      <w:r>
        <w:rPr>
          <w:b/>
          <w:bCs/>
          <w:sz w:val="44"/>
          <w:szCs w:val="44"/>
        </w:rPr>
        <w:t>X.</w:t>
        <w:tab/>
        <w:t>RECENT EVENTS OR CASES OF INTEREST</w:t>
      </w:r>
    </w:p>
    <w:p>
      <w:pPr>
        <w:pStyle w:val="Normal"/>
        <w:rPr>
          <w:b/>
          <w:bCs/>
          <w:sz w:val="44"/>
          <w:szCs w:val="44"/>
        </w:rPr>
      </w:pPr>
      <w:r>
        <w:rPr>
          <w:b/>
          <w:bCs/>
          <w:sz w:val="44"/>
          <w:szCs w:val="44"/>
        </w:rPr>
        <w:t>X.</w:t>
        <w:tab/>
        <w:t>NEXT MEETING</w:t>
      </w:r>
    </w:p>
    <w:p>
      <w:pPr>
        <w:pStyle w:val="Normal"/>
        <w:rPr>
          <w:b/>
          <w:bCs/>
          <w:sz w:val="44"/>
          <w:szCs w:val="44"/>
        </w:rPr>
      </w:pPr>
      <w:r>
        <w:rPr>
          <w:b/>
          <w:bCs/>
          <w:sz w:val="44"/>
          <w:szCs w:val="44"/>
        </w:rPr>
      </w:r>
    </w:p>
    <w:p>
      <w:pPr>
        <w:pStyle w:val="Normal"/>
        <w:rPr>
          <w:sz w:val="44"/>
          <w:szCs w:val="44"/>
        </w:rPr>
      </w:pPr>
      <w:r>
        <w:rPr>
          <w:sz w:val="44"/>
          <w:szCs w:val="44"/>
        </w:rPr>
      </w:r>
    </w:p>
    <w:p>
      <w:pPr>
        <w:pStyle w:val="Normal"/>
        <w:rPr>
          <w:sz w:val="44"/>
          <w:szCs w:val="44"/>
        </w:rPr>
      </w:pPr>
      <w:r>
        <w:rPr>
          <w:sz w:val="44"/>
          <w:szCs w:val="44"/>
        </w:rPr>
      </w:r>
    </w:p>
    <w:p>
      <w:pPr>
        <w:pStyle w:val="Normal"/>
        <w:rPr>
          <w:sz w:val="44"/>
          <w:szCs w:val="44"/>
        </w:rPr>
      </w:pPr>
      <w:r>
        <w:rPr>
          <w:sz w:val="44"/>
          <w:szCs w:val="44"/>
        </w:rPr>
      </w:r>
    </w:p>
    <w:p>
      <w:pPr>
        <w:pStyle w:val="Normal"/>
        <w:rPr>
          <w:sz w:val="44"/>
          <w:szCs w:val="44"/>
        </w:rPr>
      </w:pPr>
      <w:r>
        <w:rPr>
          <w:sz w:val="44"/>
          <w:szCs w:val="44"/>
        </w:rPr>
      </w:r>
    </w:p>
    <w:p>
      <w:pPr>
        <w:pStyle w:val="Normal"/>
        <w:rPr>
          <w:sz w:val="44"/>
          <w:szCs w:val="44"/>
        </w:rPr>
      </w:pPr>
      <w:r>
        <w:rPr>
          <w:sz w:val="44"/>
          <w:szCs w:val="44"/>
        </w:rPr>
      </w:r>
    </w:p>
    <w:p>
      <w:pPr>
        <w:pStyle w:val="Normal"/>
        <w:rPr>
          <w:sz w:val="20"/>
          <w:szCs w:val="20"/>
        </w:rPr>
      </w:pPr>
      <w:r>
        <w:rPr>
          <w:sz w:val="20"/>
          <w:szCs w:val="20"/>
        </w:rPr>
        <w:t>Wspp\1003-444-157</w:t>
      </w:r>
    </w:p>
    <w:sectPr>
      <w:headerReference w:type="default" r:id="rId2"/>
      <w:type w:val="nextPage"/>
      <w:pgSz w:w="12240" w:h="15840"/>
      <w:pgMar w:left="1800" w:right="1800" w:gutter="0" w:header="72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bCs/>
      </w:rPr>
      <w:t xml:space="preserve">SLIDE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rPr>
      <w:t>14</w:t>
    </w:r>
    <w:r>
      <w:rPr>
        <w:rStyle w:val="PageNumber"/>
        <w:b/>
        <w:bCs/>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720"/>
        </w:tabs>
        <w:ind w:start="720" w:hanging="72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4"/>
      <w:lang w:val="en-US" w:eastAsia="zh-CN" w:bidi="hi-IN"/>
    </w:rPr>
  </w:style>
  <w:style w:type="paragraph" w:styleId="Heading1">
    <w:name w:val="heading 1"/>
    <w:basedOn w:val="Normal"/>
    <w:next w:val="Normal"/>
    <w:qFormat/>
    <w:pPr>
      <w:numPr>
        <w:ilvl w:val="0"/>
        <w:numId w:val="1"/>
      </w:numPr>
      <w:jc w:val="center"/>
      <w:outlineLvl w:val="0"/>
    </w:pPr>
    <w:rPr>
      <w:b/>
      <w:bCs/>
      <w:caps/>
    </w:rPr>
  </w:style>
  <w:style w:type="paragraph" w:styleId="Heading2">
    <w:name w:val="heading 2"/>
    <w:basedOn w:val="Normal"/>
    <w:next w:val="Normal"/>
    <w:qFormat/>
    <w:pPr>
      <w:numPr>
        <w:ilvl w:val="1"/>
        <w:numId w:val="1"/>
      </w:numPr>
      <w:spacing w:before="0" w:after="240"/>
      <w:ind w:hanging="720" w:start="720" w:end="0"/>
      <w:outlineLvl w:val="1"/>
    </w:pPr>
    <w:rPr>
      <w:b/>
      <w:bCs/>
    </w:rPr>
  </w:style>
  <w:style w:type="paragraph" w:styleId="Heading3">
    <w:name w:val="heading 3"/>
    <w:basedOn w:val="Normal"/>
    <w:next w:val="Normal"/>
    <w:qFormat/>
    <w:pPr>
      <w:numPr>
        <w:ilvl w:val="2"/>
        <w:numId w:val="1"/>
      </w:numPr>
      <w:spacing w:before="0" w:after="240"/>
      <w:ind w:hanging="720" w:start="1440" w:end="0"/>
      <w:outlineLvl w:val="2"/>
    </w:pPr>
    <w:rPr>
      <w:b/>
      <w:bCs/>
    </w:rPr>
  </w:style>
  <w:style w:type="paragraph" w:styleId="Heading4">
    <w:name w:val="heading 4"/>
    <w:basedOn w:val="Normal"/>
    <w:next w:val="Normal"/>
    <w:qFormat/>
    <w:pPr>
      <w:numPr>
        <w:ilvl w:val="3"/>
        <w:numId w:val="1"/>
      </w:numPr>
      <w:spacing w:before="0" w:after="240"/>
      <w:ind w:hanging="720" w:start="2160" w:end="0"/>
      <w:outlineLvl w:val="3"/>
    </w:pPr>
    <w:rPr>
      <w:b/>
      <w:bCs/>
    </w:rPr>
  </w:style>
  <w:style w:type="paragraph" w:styleId="Heading5">
    <w:name w:val="heading 5"/>
    <w:basedOn w:val="Normal"/>
    <w:next w:val="Normal"/>
    <w:qFormat/>
    <w:pPr>
      <w:numPr>
        <w:ilvl w:val="4"/>
        <w:numId w:val="1"/>
      </w:numPr>
      <w:spacing w:before="0" w:after="240"/>
      <w:ind w:hanging="720" w:start="2880" w:end="0"/>
      <w:outlineLvl w:val="4"/>
    </w:pPr>
    <w:rPr>
      <w:b/>
      <w:bCs/>
    </w:rPr>
  </w:style>
  <w:style w:type="paragraph" w:styleId="Heading6">
    <w:name w:val="heading 6"/>
    <w:basedOn w:val="Normal"/>
    <w:next w:val="Normal"/>
    <w:qFormat/>
    <w:pPr>
      <w:numPr>
        <w:ilvl w:val="5"/>
        <w:numId w:val="1"/>
      </w:numPr>
      <w:spacing w:before="0" w:after="240"/>
      <w:ind w:hanging="720" w:start="3600" w:end="0"/>
      <w:outlineLvl w:val="5"/>
    </w:pPr>
    <w:rPr>
      <w:b/>
      <w:bCs/>
    </w:rPr>
  </w:style>
  <w:style w:type="paragraph" w:styleId="Heading7">
    <w:name w:val="heading 7"/>
    <w:basedOn w:val="Normal"/>
    <w:next w:val="Normal"/>
    <w:qFormat/>
    <w:pPr>
      <w:numPr>
        <w:ilvl w:val="6"/>
        <w:numId w:val="1"/>
      </w:numPr>
      <w:spacing w:before="0" w:after="240"/>
      <w:ind w:hanging="720" w:start="4320" w:end="0"/>
      <w:outlineLvl w:val="6"/>
    </w:pPr>
    <w:rPr>
      <w:b/>
      <w:bCs/>
    </w:rPr>
  </w:style>
  <w:style w:type="paragraph" w:styleId="Heading8">
    <w:name w:val="heading 8"/>
    <w:basedOn w:val="Normal"/>
    <w:next w:val="Normal"/>
    <w:qFormat/>
    <w:pPr>
      <w:numPr>
        <w:ilvl w:val="7"/>
        <w:numId w:val="1"/>
      </w:numPr>
      <w:spacing w:before="0" w:after="240"/>
      <w:ind w:hanging="720" w:start="5040" w:end="0"/>
      <w:outlineLvl w:val="7"/>
    </w:pPr>
    <w:rPr>
      <w:b/>
      <w:bCs/>
    </w:rPr>
  </w:style>
  <w:style w:type="paragraph" w:styleId="Heading9">
    <w:name w:val="heading 9"/>
    <w:basedOn w:val="Normal"/>
    <w:next w:val="Normal"/>
    <w:qFormat/>
    <w:pPr>
      <w:numPr>
        <w:ilvl w:val="8"/>
        <w:numId w:val="1"/>
      </w:numPr>
      <w:spacing w:before="0" w:after="240"/>
      <w:ind w:hanging="720" w:start="5760" w:end="0"/>
      <w:outlineLvl w:val="8"/>
    </w:pPr>
    <w:rPr>
      <w:b/>
      <w:bCs/>
    </w:rPr>
  </w:style>
  <w:style w:type="character" w:styleId="DefaultParagraphFont">
    <w:name w:val="Default Paragraph Font"/>
    <w:qFormat/>
    <w:rPr/>
  </w:style>
  <w:style w:type="character" w:styleId="LineNumber">
    <w:name w:val="line number"/>
    <w:basedOn w:val="DefaultParagraphFont"/>
    <w:rPr>
      <w:sz w:val="24"/>
      <w:szCs w:val="24"/>
    </w:rPr>
  </w:style>
  <w:style w:type="character" w:styleId="FootnoteCharacters">
    <w:name w:val="Footnote Characters"/>
    <w:basedOn w:val="DefaultParagraphFont"/>
    <w:qFormat/>
    <w:rPr>
      <w:sz w:val="24"/>
      <w:szCs w:val="24"/>
      <w:vertAlign w:val="superscript"/>
    </w:rPr>
  </w:style>
  <w:style w:type="character" w:styleId="PageNumber">
    <w:name w:val="page number"/>
    <w:basedOn w:val="DefaultParagraphFont"/>
    <w:rPr/>
  </w:style>
  <w:style w:type="paragraph" w:styleId="Heading">
    <w:name w:val="Heading"/>
    <w:basedOn w:val="Normal"/>
    <w:next w:val="BodyText"/>
    <w:qFormat/>
    <w:pPr>
      <w:spacing w:lineRule="auto" w:line="480"/>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keepNext w:val="true"/>
      <w:spacing w:before="0" w:after="240"/>
      <w:ind w:hanging="720" w:start="720" w:end="0"/>
    </w:pPr>
    <w:rPr/>
  </w:style>
  <w:style w:type="paragraph" w:styleId="PlainText">
    <w:name w:val="Plain Text"/>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rPr/>
  </w:style>
  <w:style w:type="paragraph" w:styleId="Subtitle">
    <w:name w:val="Subtitle"/>
    <w:basedOn w:val="Normal"/>
    <w:next w:val="BodyText"/>
    <w:qFormat/>
    <w:pPr>
      <w:spacing w:lineRule="auto" w:line="480"/>
      <w:jc w:val="start"/>
    </w:pPr>
    <w:rPr/>
  </w:style>
  <w:style w:type="paragraph" w:styleId="TOC1">
    <w:name w:val="toc 1"/>
    <w:basedOn w:val="Normal"/>
    <w:next w:val="Normal"/>
    <w:pPr>
      <w:spacing w:before="0" w:after="240"/>
      <w:ind w:hanging="720" w:start="720" w:end="720"/>
      <w:jc w:val="start"/>
    </w:pPr>
    <w:rPr>
      <w:caps/>
    </w:rPr>
  </w:style>
  <w:style w:type="paragraph" w:styleId="TOC2">
    <w:name w:val="toc 2"/>
    <w:basedOn w:val="Normal"/>
    <w:next w:val="Normal"/>
    <w:pPr>
      <w:spacing w:before="0" w:after="240"/>
      <w:ind w:hanging="720" w:start="1440" w:end="720"/>
      <w:jc w:val="start"/>
    </w:pPr>
    <w:rPr/>
  </w:style>
  <w:style w:type="paragraph" w:styleId="TOC3">
    <w:name w:val="toc 3"/>
    <w:basedOn w:val="Normal"/>
    <w:next w:val="Normal"/>
    <w:pPr>
      <w:spacing w:before="0" w:after="240"/>
      <w:ind w:hanging="720" w:start="2160" w:end="720"/>
      <w:jc w:val="start"/>
    </w:pPr>
    <w:rPr/>
  </w:style>
  <w:style w:type="paragraph" w:styleId="TOC4">
    <w:name w:val="toc 4"/>
    <w:basedOn w:val="Normal"/>
    <w:next w:val="Normal"/>
    <w:pPr>
      <w:spacing w:before="0" w:after="240"/>
      <w:ind w:hanging="720" w:start="2880" w:end="720"/>
      <w:jc w:val="start"/>
    </w:pPr>
    <w:rPr/>
  </w:style>
  <w:style w:type="paragraph" w:styleId="TOC5">
    <w:name w:val="toc 5"/>
    <w:basedOn w:val="Normal"/>
    <w:next w:val="Normal"/>
    <w:pPr>
      <w:spacing w:before="0" w:after="240"/>
      <w:ind w:hanging="720" w:start="3600" w:end="720"/>
      <w:jc w:val="start"/>
    </w:pPr>
    <w:rPr/>
  </w:style>
  <w:style w:type="paragraph" w:styleId="TOC6">
    <w:name w:val="toc 6"/>
    <w:basedOn w:val="Normal"/>
    <w:next w:val="Normal"/>
    <w:pPr>
      <w:spacing w:before="0" w:after="240"/>
      <w:ind w:hanging="720" w:start="4320" w:end="720"/>
      <w:jc w:val="start"/>
    </w:pPr>
    <w:rPr/>
  </w:style>
  <w:style w:type="paragraph" w:styleId="TOC7">
    <w:name w:val="toc 7"/>
    <w:basedOn w:val="Normal"/>
    <w:next w:val="Normal"/>
    <w:pPr>
      <w:spacing w:before="0" w:after="240"/>
      <w:ind w:hanging="720" w:start="5040" w:end="720"/>
      <w:jc w:val="start"/>
    </w:pPr>
    <w:rPr/>
  </w:style>
  <w:style w:type="paragraph" w:styleId="TOC8">
    <w:name w:val="toc 8"/>
    <w:basedOn w:val="Normal"/>
    <w:next w:val="Normal"/>
    <w:pPr>
      <w:spacing w:before="0" w:after="240"/>
      <w:ind w:hanging="720" w:start="5760" w:end="720"/>
      <w:jc w:val="start"/>
    </w:pPr>
    <w:rPr/>
  </w:style>
  <w:style w:type="paragraph" w:styleId="TOC9">
    <w:name w:val="toc 9"/>
    <w:basedOn w:val="Normal"/>
    <w:next w:val="Normal"/>
    <w:pPr>
      <w:spacing w:before="0" w:after="240"/>
      <w:ind w:hanging="720" w:start="6480" w:end="720"/>
      <w:jc w:val="start"/>
    </w:pPr>
    <w:rPr/>
  </w:style>
  <w:style w:type="paragraph" w:styleId="BlockText">
    <w:name w:val="Block Text"/>
    <w:basedOn w:val="Normal"/>
    <w:qFormat/>
    <w:pPr>
      <w:spacing w:before="0" w:after="240"/>
      <w:ind w:hanging="0" w:start="1440" w:end="1440"/>
    </w:pPr>
    <w:rPr/>
  </w:style>
  <w:style w:type="paragraph" w:styleId="NORMALDOUBLESPACED">
    <w:name w:val="NORMAL DOUBLE SPACED"/>
    <w:basedOn w:val="Normal"/>
    <w:qFormat/>
    <w:pPr>
      <w:spacing w:lineRule="auto" w:line="480"/>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2000-01-26T14:04:00Z</dcterms:created>
  <dc:creator>Reception Desk</dc:creator>
  <dc:description/>
  <dc:language>en-CA</dc:language>
  <cp:lastModifiedBy>Reception Desk</cp:lastModifiedBy>
  <cp:lastPrinted>2000-01-26T10:34:00Z</cp:lastPrinted>
  <dcterms:modified xsi:type="dcterms:W3CDTF">2000-01-26T14:04:00Z</dcterms:modified>
  <cp:revision>2</cp:revision>
  <dc:subject/>
  <dc:title>WSPP PRESENTATION</dc:title>
</cp:coreProperties>
</file>