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48"/>
        </w:rPr>
      </w:pPr>
      <w:r>
        <w:rPr>
          <w:b/>
          <w:sz w:val="48"/>
        </w:rPr>
      </w:r>
    </w:p>
    <w:p>
      <w:pPr>
        <w:pStyle w:val="Normal"/>
        <w:jc w:val="center"/>
        <w:rPr>
          <w:b/>
          <w:sz w:val="48"/>
        </w:rPr>
      </w:pPr>
      <w:r>
        <w:rPr>
          <w:b/>
          <w:sz w:val="48"/>
        </w:rPr>
      </w:r>
    </w:p>
    <w:p>
      <w:pPr>
        <w:pStyle w:val="Normal"/>
        <w:jc w:val="center"/>
        <w:rPr>
          <w:b/>
          <w:sz w:val="48"/>
        </w:rPr>
      </w:pPr>
      <w:r>
        <w:rPr>
          <w:b/>
          <w:sz w:val="48"/>
        </w:rPr>
        <w:t>SLIDES FOR</w:t>
      </w:r>
    </w:p>
    <w:p>
      <w:pPr>
        <w:pStyle w:val="Normal"/>
        <w:jc w:val="center"/>
        <w:rPr>
          <w:b/>
          <w:sz w:val="48"/>
        </w:rPr>
      </w:pPr>
      <w:r>
        <w:rPr>
          <w:b/>
          <w:sz w:val="48"/>
        </w:rPr>
      </w:r>
    </w:p>
    <w:p>
      <w:pPr>
        <w:pStyle w:val="Normal"/>
        <w:jc w:val="center"/>
        <w:rPr>
          <w:b/>
          <w:sz w:val="48"/>
        </w:rPr>
      </w:pPr>
      <w:r>
        <w:rPr>
          <w:b/>
          <w:sz w:val="48"/>
        </w:rPr>
        <w:t>SEPTEMBER 17, 1999</w:t>
      </w:r>
    </w:p>
    <w:p>
      <w:pPr>
        <w:pStyle w:val="Normal"/>
        <w:jc w:val="center"/>
        <w:rPr>
          <w:b/>
          <w:sz w:val="48"/>
        </w:rPr>
      </w:pPr>
      <w:r>
        <w:rPr>
          <w:b/>
          <w:sz w:val="48"/>
        </w:rPr>
      </w:r>
    </w:p>
    <w:p>
      <w:pPr>
        <w:pStyle w:val="Normal"/>
        <w:jc w:val="center"/>
        <w:rPr>
          <w:b/>
          <w:sz w:val="48"/>
        </w:rPr>
      </w:pPr>
      <w:r>
        <w:rPr>
          <w:b/>
          <w:sz w:val="48"/>
        </w:rPr>
      </w:r>
    </w:p>
    <w:p>
      <w:pPr>
        <w:pStyle w:val="Normal"/>
        <w:jc w:val="center"/>
        <w:rPr>
          <w:b/>
          <w:sz w:val="48"/>
        </w:rPr>
      </w:pPr>
      <w:r>
        <w:rPr>
          <w:b/>
          <w:sz w:val="48"/>
        </w:rPr>
        <w:t>WSPP OPERATING</w:t>
      </w:r>
    </w:p>
    <w:p>
      <w:pPr>
        <w:pStyle w:val="Normal"/>
        <w:jc w:val="center"/>
        <w:rPr>
          <w:b/>
          <w:sz w:val="48"/>
        </w:rPr>
      </w:pPr>
      <w:r>
        <w:rPr>
          <w:b/>
          <w:sz w:val="48"/>
        </w:rPr>
        <w:t>COMMITTEE MEETING</w:t>
      </w:r>
    </w:p>
    <w:p>
      <w:pPr>
        <w:pStyle w:val="Normal"/>
        <w:jc w:val="center"/>
        <w:rPr>
          <w:b/>
          <w:sz w:val="48"/>
        </w:rPr>
      </w:pPr>
      <w:r>
        <w:rPr>
          <w:b/>
          <w:sz w:val="48"/>
        </w:rPr>
      </w:r>
    </w:p>
    <w:p>
      <w:pPr>
        <w:pStyle w:val="Normal"/>
        <w:jc w:val="center"/>
        <w:rPr>
          <w:b/>
          <w:sz w:val="48"/>
        </w:rPr>
      </w:pPr>
      <w:r>
        <w:rPr>
          <w:b/>
          <w:sz w:val="48"/>
        </w:rPr>
        <w:t>VANCOUVER</w:t>
      </w:r>
    </w:p>
    <w:p>
      <w:pPr>
        <w:pStyle w:val="Normal"/>
        <w:jc w:val="center"/>
        <w:rPr>
          <w:b/>
          <w:sz w:val="48"/>
        </w:rPr>
      </w:pPr>
      <w:r>
        <w:rPr>
          <w:b/>
          <w:sz w:val="48"/>
        </w:rPr>
      </w:r>
    </w:p>
    <w:p>
      <w:pPr>
        <w:pStyle w:val="Normal"/>
        <w:jc w:val="center"/>
        <w:rPr>
          <w:b/>
          <w:sz w:val="48"/>
        </w:rPr>
      </w:pPr>
      <w:r>
        <w:rPr>
          <w:b/>
          <w:sz w:val="48"/>
        </w:rPr>
      </w:r>
    </w:p>
    <w:p>
      <w:pPr>
        <w:pStyle w:val="Normal"/>
        <w:jc w:val="center"/>
        <w:rPr>
          <w:b/>
          <w:sz w:val="48"/>
        </w:rPr>
      </w:pPr>
      <w:r>
        <w:rPr>
          <w:b/>
          <w:sz w:val="48"/>
        </w:rPr>
      </w:r>
    </w:p>
    <w:p>
      <w:pPr>
        <w:pStyle w:val="Normal"/>
        <w:ind w:firstLine="720" w:start="4320" w:end="0"/>
        <w:rPr>
          <w:b/>
          <w:sz w:val="32"/>
        </w:rPr>
      </w:pPr>
      <w:r>
        <w:rPr>
          <w:b/>
          <w:sz w:val="32"/>
        </w:rPr>
        <w:t>Michael E. Small</w:t>
      </w:r>
    </w:p>
    <w:p>
      <w:pPr>
        <w:pStyle w:val="Normal"/>
        <w:ind w:firstLine="720" w:start="4320" w:end="0"/>
        <w:rPr>
          <w:b/>
          <w:sz w:val="32"/>
        </w:rPr>
      </w:pPr>
      <w:r>
        <w:rPr>
          <w:b/>
          <w:sz w:val="32"/>
        </w:rPr>
        <w:t xml:space="preserve">  </w:t>
      </w:r>
      <w:r>
        <w:rPr>
          <w:b/>
          <w:sz w:val="32"/>
        </w:rPr>
        <w:t>General Counsel</w:t>
      </w:r>
    </w:p>
    <w:p>
      <w:pPr>
        <w:pStyle w:val="Normal"/>
        <w:ind w:firstLine="720" w:start="4320" w:end="0"/>
        <w:rPr>
          <w:b/>
          <w:sz w:val="32"/>
        </w:rPr>
      </w:pPr>
      <w:r>
        <w:rPr>
          <w:b/>
          <w:sz w:val="32"/>
        </w:rPr>
        <w:t xml:space="preserve">  </w:t>
      </w:r>
      <w:r>
        <w:rPr>
          <w:b/>
          <w:sz w:val="32"/>
        </w:rPr>
        <w:t>to WSPP</w:t>
      </w:r>
    </w:p>
    <w:p>
      <w:pPr>
        <w:pStyle w:val="Normal"/>
        <w:ind w:firstLine="720" w:start="4320" w:end="0"/>
        <w:rPr>
          <w:b/>
          <w:sz w:val="32"/>
        </w:rPr>
      </w:pPr>
      <w:r>
        <w:rPr>
          <w:b/>
          <w:sz w:val="32"/>
        </w:rPr>
        <w:t>Wright &amp; Talisman, P.C.</w:t>
      </w:r>
    </w:p>
    <w:p>
      <w:pPr>
        <w:pStyle w:val="Normal"/>
        <w:ind w:firstLine="720" w:start="4320" w:end="0"/>
        <w:rPr>
          <w:b/>
          <w:sz w:val="32"/>
        </w:rPr>
      </w:pPr>
      <w:r>
        <w:rPr>
          <w:b/>
          <w:sz w:val="32"/>
        </w:rPr>
        <w:t>1200 G Street, N.W.</w:t>
      </w:r>
    </w:p>
    <w:p>
      <w:pPr>
        <w:pStyle w:val="Normal"/>
        <w:ind w:firstLine="720" w:start="4320" w:end="0"/>
        <w:rPr>
          <w:b/>
          <w:sz w:val="32"/>
        </w:rPr>
      </w:pPr>
      <w:r>
        <w:rPr>
          <w:b/>
          <w:sz w:val="32"/>
        </w:rPr>
        <w:t>Suite 600</w:t>
      </w:r>
    </w:p>
    <w:p>
      <w:pPr>
        <w:pStyle w:val="Normal"/>
        <w:ind w:firstLine="720" w:start="4320" w:end="0"/>
        <w:rPr>
          <w:b/>
          <w:sz w:val="32"/>
        </w:rPr>
      </w:pPr>
      <w:r>
        <w:rPr>
          <w:b/>
          <w:sz w:val="32"/>
        </w:rPr>
        <w:t>Washington, D.C.  20005</w:t>
      </w:r>
    </w:p>
    <w:p>
      <w:pPr>
        <w:pStyle w:val="Normal"/>
        <w:ind w:firstLine="720" w:start="4320" w:end="0"/>
        <w:rPr>
          <w:b/>
          <w:sz w:val="32"/>
        </w:rPr>
      </w:pPr>
      <w:r>
        <w:rPr>
          <w:b/>
          <w:sz w:val="32"/>
        </w:rPr>
        <w:t>(202) 393-1200</w:t>
      </w:r>
    </w:p>
    <w:p>
      <w:pPr>
        <w:sectPr>
          <w:headerReference w:type="default" r:id="rId3"/>
          <w:headerReference w:type="first" r:id="rId4"/>
          <w:type w:val="nextPage"/>
          <w:pgSz w:w="12240" w:h="15840"/>
          <w:pgMar w:left="2160" w:right="1440" w:gutter="0" w:header="720" w:top="1440" w:footer="0" w:bottom="1296"/>
          <w:pgNumType w:fmt="decimal"/>
          <w:formProt w:val="false"/>
          <w:titlePg/>
          <w:textDirection w:val="lrTb"/>
          <w:docGrid w:type="default" w:linePitch="360" w:charSpace="0"/>
        </w:sectPr>
        <w:pStyle w:val="Normal"/>
        <w:ind w:firstLine="720" w:start="4320" w:end="0"/>
        <w:rPr/>
      </w:pPr>
      <w:hyperlink r:id="rId2">
        <w:r>
          <w:rPr>
            <w:rStyle w:val="Hyperlink"/>
          </w:rPr>
          <w:t>Small@Wrightlaw.com</w:t>
        </w:r>
      </w:hyperlink>
      <w:r>
        <w:rPr>
          <w:b/>
          <w:sz w:val="32"/>
        </w:rPr>
        <w:br/>
      </w:r>
    </w:p>
    <w:p>
      <w:pPr>
        <w:pStyle w:val="Normal"/>
        <w:jc w:val="center"/>
        <w:rPr>
          <w:sz w:val="44"/>
        </w:rPr>
      </w:pPr>
      <w:r>
        <w:rPr>
          <w:b/>
          <w:sz w:val="44"/>
        </w:rPr>
        <w:t>JUNE 1 CONTRACT REVISIONS</w:t>
      </w:r>
    </w:p>
    <w:p>
      <w:pPr>
        <w:pStyle w:val="Normal"/>
        <w:jc w:val="center"/>
        <w:rPr>
          <w:sz w:val="44"/>
        </w:rPr>
      </w:pPr>
      <w:r>
        <w:rPr>
          <w:sz w:val="44"/>
        </w:rPr>
      </w:r>
    </w:p>
    <w:p>
      <w:pPr>
        <w:pStyle w:val="Normal"/>
        <w:rPr>
          <w:sz w:val="44"/>
        </w:rPr>
      </w:pPr>
      <w:r>
        <w:rPr>
          <w:sz w:val="44"/>
        </w:rPr>
        <w:t>Filing made on April 30, 1999</w:t>
      </w:r>
    </w:p>
    <w:p>
      <w:pPr>
        <w:pStyle w:val="Normal"/>
        <w:rPr>
          <w:sz w:val="44"/>
        </w:rPr>
      </w:pPr>
      <w:r>
        <w:rPr>
          <w:sz w:val="44"/>
        </w:rPr>
      </w:r>
    </w:p>
    <w:p>
      <w:pPr>
        <w:pStyle w:val="Normal"/>
        <w:numPr>
          <w:ilvl w:val="0"/>
          <w:numId w:val="13"/>
        </w:numPr>
        <w:tabs>
          <w:tab w:val="clear" w:pos="720"/>
          <w:tab w:val="left" w:pos="1440" w:leader="none"/>
        </w:tabs>
        <w:ind w:hanging="720" w:start="1440" w:end="0"/>
        <w:rPr>
          <w:sz w:val="44"/>
        </w:rPr>
      </w:pPr>
      <w:r>
        <w:rPr>
          <w:sz w:val="44"/>
        </w:rPr>
        <w:t>Eliminated one year limitation on transactions.</w:t>
      </w:r>
    </w:p>
    <w:p>
      <w:pPr>
        <w:pStyle w:val="Normal"/>
        <w:numPr>
          <w:ilvl w:val="0"/>
          <w:numId w:val="7"/>
        </w:numPr>
        <w:tabs>
          <w:tab w:val="clear" w:pos="720"/>
          <w:tab w:val="left" w:pos="1440" w:leader="none"/>
        </w:tabs>
        <w:ind w:hanging="720" w:start="1440" w:end="0"/>
        <w:rPr>
          <w:sz w:val="44"/>
        </w:rPr>
      </w:pPr>
      <w:r>
        <w:rPr>
          <w:sz w:val="44"/>
        </w:rPr>
        <w:t>Payment due on the later of the 20</w:t>
      </w:r>
      <w:r>
        <w:rPr>
          <w:sz w:val="44"/>
          <w:vertAlign w:val="superscript"/>
        </w:rPr>
        <w:t>th</w:t>
      </w:r>
      <w:r>
        <w:rPr>
          <w:sz w:val="44"/>
        </w:rPr>
        <w:t xml:space="preserve"> day of the invoice month or the tenth day following receipt of invoice (instead of last day of month or 15</w:t>
      </w:r>
      <w:r>
        <w:rPr>
          <w:sz w:val="44"/>
          <w:vertAlign w:val="superscript"/>
        </w:rPr>
        <w:t>th</w:t>
      </w:r>
      <w:r>
        <w:rPr>
          <w:sz w:val="44"/>
        </w:rPr>
        <w:t xml:space="preserve"> day after receipt).</w:t>
      </w:r>
    </w:p>
    <w:p>
      <w:pPr>
        <w:pStyle w:val="Normal"/>
        <w:numPr>
          <w:ilvl w:val="0"/>
          <w:numId w:val="7"/>
        </w:numPr>
        <w:tabs>
          <w:tab w:val="clear" w:pos="720"/>
          <w:tab w:val="left" w:pos="1440" w:leader="none"/>
        </w:tabs>
        <w:ind w:hanging="720" w:start="1440" w:end="0"/>
        <w:rPr>
          <w:sz w:val="44"/>
        </w:rPr>
      </w:pPr>
      <w:r>
        <w:rPr>
          <w:sz w:val="44"/>
        </w:rPr>
        <w:t>Expanded default provision to define events of default and to detail rights of termination and liquidation in the event of default.  Events of default include bankruptcy, failure to make reasonable assurances of creditworthiness, and failure to pay.  Liquidation amounts calculated by reference to market prices present valued back to termination date.</w:t>
      </w:r>
    </w:p>
    <w:p>
      <w:pPr>
        <w:pStyle w:val="Normal"/>
        <w:ind w:start="720" w:end="0"/>
        <w:rPr>
          <w:sz w:val="44"/>
        </w:rPr>
      </w:pPr>
      <w:r>
        <w:rPr>
          <w:sz w:val="44"/>
        </w:rPr>
      </w:r>
    </w:p>
    <w:p>
      <w:pPr>
        <w:pStyle w:val="Normal"/>
        <w:ind w:start="1440" w:end="0"/>
        <w:rPr/>
      </w:pPr>
      <w:r>
        <w:rPr>
          <w:b/>
          <w:sz w:val="44"/>
        </w:rPr>
        <w:t>Note:</w:t>
      </w:r>
      <w:r>
        <w:rPr>
          <w:sz w:val="44"/>
        </w:rPr>
        <w:t xml:space="preserve">  Failure to deliver is not an event of default so long as the party timely pays damages.</w:t>
      </w:r>
    </w:p>
    <w:p>
      <w:pPr>
        <w:pStyle w:val="Normal"/>
        <w:ind w:start="1440" w:end="0"/>
        <w:rPr>
          <w:b/>
          <w:sz w:val="44"/>
        </w:rPr>
      </w:pPr>
      <w:r>
        <w:rPr>
          <w:b/>
          <w:sz w:val="44"/>
        </w:rPr>
      </w:r>
    </w:p>
    <w:p>
      <w:pPr>
        <w:pStyle w:val="Normal"/>
        <w:numPr>
          <w:ilvl w:val="0"/>
          <w:numId w:val="14"/>
        </w:numPr>
        <w:tabs>
          <w:tab w:val="clear" w:pos="720"/>
          <w:tab w:val="left" w:pos="1440" w:leader="none"/>
        </w:tabs>
        <w:ind w:hanging="720" w:start="1440" w:end="0"/>
        <w:rPr>
          <w:sz w:val="44"/>
        </w:rPr>
      </w:pPr>
      <w:r>
        <w:rPr>
          <w:sz w:val="44"/>
        </w:rPr>
        <w:t>Revised creditworthy section to detail events which would justify requesting reasonable assurances.  Events include a party defaulting on other agreements, exceeded credit limits, having its debt downgraded to below investment grade (or investment grade debt further downgraded), experiencing material degradation of its financial condition, or having the ability to perform materially affected by a change in market prices.</w:t>
      </w:r>
    </w:p>
    <w:p>
      <w:pPr>
        <w:pStyle w:val="Normal"/>
        <w:numPr>
          <w:ilvl w:val="0"/>
          <w:numId w:val="14"/>
        </w:numPr>
        <w:tabs>
          <w:tab w:val="clear" w:pos="720"/>
          <w:tab w:val="left" w:pos="1440" w:leader="none"/>
        </w:tabs>
        <w:ind w:hanging="720" w:start="1440" w:end="0"/>
        <w:rPr>
          <w:sz w:val="44"/>
        </w:rPr>
      </w:pPr>
      <w:r>
        <w:rPr>
          <w:sz w:val="44"/>
        </w:rPr>
        <w:t>Added cap to creditworthiness provision to cap requests for credit assurances to a level tied to damage calculations.</w:t>
      </w:r>
      <w:r>
        <w:br w:type="page"/>
      </w:r>
    </w:p>
    <w:p>
      <w:pPr>
        <w:pStyle w:val="Normal"/>
        <w:numPr>
          <w:ilvl w:val="0"/>
          <w:numId w:val="21"/>
        </w:numPr>
        <w:tabs>
          <w:tab w:val="clear" w:pos="720"/>
          <w:tab w:val="left" w:pos="1440" w:leader="none"/>
        </w:tabs>
        <w:ind w:hanging="720" w:start="1440" w:end="0"/>
        <w:rPr>
          <w:sz w:val="44"/>
        </w:rPr>
      </w:pPr>
      <w:r>
        <w:rPr>
          <w:b/>
          <w:sz w:val="44"/>
        </w:rPr>
        <w:t>Netting –</w:t>
      </w:r>
      <w:r>
        <w:rPr>
          <w:sz w:val="44"/>
        </w:rPr>
        <w:t xml:space="preserve"> Created a general WSPP netting agreement.  WSPP members can execute.  If both parties to a transaction  have executed the netting agreement, their netting will occur between the parties without any additional actions being required.  List of members that executed the netting agreement is posted on WSPP webpage.  Until webpage is updated, contact Dave Berman (</w:t>
      </w:r>
      <w:hyperlink r:id="rId5">
        <w:r>
          <w:rPr>
            <w:rStyle w:val="Hyperlink"/>
          </w:rPr>
          <w:t>Berman@Wrightlaw.com</w:t>
        </w:r>
      </w:hyperlink>
      <w:r>
        <w:rPr>
          <w:sz w:val="44"/>
        </w:rPr>
        <w:t>) to be added to list.</w:t>
      </w:r>
      <w:r>
        <w:br w:type="page"/>
      </w:r>
    </w:p>
    <w:p>
      <w:pPr>
        <w:pStyle w:val="Normal"/>
        <w:numPr>
          <w:ilvl w:val="0"/>
          <w:numId w:val="4"/>
        </w:numPr>
        <w:tabs>
          <w:tab w:val="clear" w:pos="720"/>
          <w:tab w:val="left" w:pos="1440" w:leader="none"/>
        </w:tabs>
        <w:ind w:hanging="720" w:start="1440" w:end="0"/>
        <w:rPr>
          <w:sz w:val="44"/>
        </w:rPr>
      </w:pPr>
      <w:r>
        <w:rPr>
          <w:sz w:val="44"/>
        </w:rPr>
        <w:t>Dispute Resolution provisions added</w:t>
      </w:r>
    </w:p>
    <w:p>
      <w:pPr>
        <w:pStyle w:val="Normal"/>
        <w:ind w:start="720" w:end="0"/>
        <w:rPr>
          <w:sz w:val="44"/>
        </w:rPr>
      </w:pPr>
      <w:r>
        <w:rPr>
          <w:sz w:val="44"/>
        </w:rPr>
      </w:r>
    </w:p>
    <w:p>
      <w:pPr>
        <w:pStyle w:val="Normal"/>
        <w:ind w:start="1440" w:end="0"/>
        <w:rPr>
          <w:sz w:val="44"/>
        </w:rPr>
      </w:pPr>
      <w:r>
        <w:rPr>
          <w:sz w:val="44"/>
        </w:rPr>
        <w:t>Required informal dispute resolution.</w:t>
      </w:r>
    </w:p>
    <w:p>
      <w:pPr>
        <w:pStyle w:val="Normal"/>
        <w:ind w:start="1440" w:end="0"/>
        <w:rPr>
          <w:sz w:val="44"/>
        </w:rPr>
      </w:pPr>
      <w:r>
        <w:rPr>
          <w:sz w:val="44"/>
        </w:rPr>
      </w:r>
    </w:p>
    <w:p>
      <w:pPr>
        <w:pStyle w:val="Normal"/>
        <w:ind w:start="1440" w:end="0"/>
        <w:rPr>
          <w:sz w:val="44"/>
        </w:rPr>
      </w:pPr>
      <w:r>
        <w:rPr>
          <w:sz w:val="44"/>
        </w:rPr>
        <w:t>Required formal dispute resolution for calculation disputes involving damages under § 21.3 and liquidation amounts under § 22.</w:t>
      </w:r>
    </w:p>
    <w:p>
      <w:pPr>
        <w:pStyle w:val="Normal"/>
        <w:ind w:start="1440" w:end="0"/>
        <w:rPr>
          <w:sz w:val="44"/>
        </w:rPr>
      </w:pPr>
      <w:r>
        <w:rPr>
          <w:sz w:val="44"/>
        </w:rPr>
      </w:r>
    </w:p>
    <w:p>
      <w:pPr>
        <w:pStyle w:val="Normal"/>
        <w:numPr>
          <w:ilvl w:val="0"/>
          <w:numId w:val="15"/>
        </w:numPr>
        <w:tabs>
          <w:tab w:val="clear" w:pos="720"/>
          <w:tab w:val="left" w:pos="1440" w:leader="none"/>
        </w:tabs>
        <w:ind w:hanging="720" w:start="1440" w:end="0"/>
        <w:rPr>
          <w:sz w:val="44"/>
        </w:rPr>
      </w:pPr>
      <w:r>
        <w:rPr>
          <w:sz w:val="44"/>
        </w:rPr>
        <w:t>Form of Guarantee added.</w:t>
      </w:r>
    </w:p>
    <w:p>
      <w:pPr>
        <w:pStyle w:val="Normal"/>
        <w:numPr>
          <w:ilvl w:val="0"/>
          <w:numId w:val="15"/>
        </w:numPr>
        <w:tabs>
          <w:tab w:val="clear" w:pos="720"/>
          <w:tab w:val="left" w:pos="1440" w:leader="none"/>
        </w:tabs>
        <w:ind w:hanging="720" w:start="1440" w:end="0"/>
        <w:rPr>
          <w:sz w:val="44"/>
        </w:rPr>
      </w:pPr>
      <w:r>
        <w:rPr>
          <w:sz w:val="44"/>
        </w:rPr>
        <w:t>Added § 35 recognizing that all transactions are forward contracts and that the parties are forward contract merchants.  Added to aid argument for set-off in bankruptcy context.</w:t>
      </w:r>
    </w:p>
    <w:p>
      <w:pPr>
        <w:pStyle w:val="Normal"/>
        <w:numPr>
          <w:ilvl w:val="0"/>
          <w:numId w:val="15"/>
        </w:numPr>
        <w:tabs>
          <w:tab w:val="clear" w:pos="720"/>
          <w:tab w:val="left" w:pos="1440" w:leader="none"/>
        </w:tabs>
        <w:ind w:hanging="720" w:start="1440" w:end="0"/>
        <w:rPr>
          <w:sz w:val="44"/>
        </w:rPr>
      </w:pPr>
      <w:r>
        <w:rPr>
          <w:sz w:val="44"/>
        </w:rPr>
        <w:t>Added representation that the parties possess the requisite authority to enter into the agreement and that each party is financially solvent.</w:t>
      </w:r>
      <w:r>
        <w:br w:type="page"/>
      </w:r>
    </w:p>
    <w:p>
      <w:pPr>
        <w:pStyle w:val="Normal"/>
        <w:numPr>
          <w:ilvl w:val="0"/>
          <w:numId w:val="23"/>
        </w:numPr>
        <w:tabs>
          <w:tab w:val="clear" w:pos="720"/>
          <w:tab w:val="left" w:pos="1440" w:leader="none"/>
        </w:tabs>
        <w:ind w:hanging="720" w:start="1440" w:end="0"/>
        <w:rPr>
          <w:sz w:val="44"/>
        </w:rPr>
      </w:pPr>
      <w:r>
        <w:rPr>
          <w:sz w:val="44"/>
        </w:rPr>
        <w:t>On June 21, 1999, FERC accepted the filing without modifications effective June 1, 1999, except that its acceptance of the elimination of the one year limit was conditional on the WSPP modifying its OATT to add in long term point-to-point transmission service.</w:t>
      </w:r>
    </w:p>
    <w:p>
      <w:pPr>
        <w:pStyle w:val="Normal"/>
        <w:numPr>
          <w:ilvl w:val="0"/>
          <w:numId w:val="23"/>
        </w:numPr>
        <w:tabs>
          <w:tab w:val="clear" w:pos="720"/>
          <w:tab w:val="left" w:pos="1440" w:leader="none"/>
        </w:tabs>
        <w:ind w:hanging="720" w:start="1440" w:end="0"/>
        <w:rPr>
          <w:sz w:val="44"/>
        </w:rPr>
      </w:pPr>
      <w:r>
        <w:rPr>
          <w:sz w:val="44"/>
        </w:rPr>
        <w:t>Pursuant to that order, the WSPP submitted a revision to the OATT to include long-term point-to-point transmission service.  On September 9, 1999 in Docket No. ER99-2763-003, FERC accepted the OATT revisions without modification.  Changes are now final.</w:t>
      </w:r>
    </w:p>
    <w:p>
      <w:pPr>
        <w:pStyle w:val="Normal"/>
        <w:numPr>
          <w:ilvl w:val="0"/>
          <w:numId w:val="23"/>
        </w:numPr>
        <w:tabs>
          <w:tab w:val="clear" w:pos="720"/>
          <w:tab w:val="left" w:pos="1440" w:leader="none"/>
        </w:tabs>
        <w:ind w:hanging="720" w:start="1440" w:end="0"/>
        <w:rPr>
          <w:sz w:val="44"/>
        </w:rPr>
      </w:pPr>
      <w:r>
        <w:rPr>
          <w:sz w:val="44"/>
        </w:rPr>
        <w:t>On June 11, 1999, filed a correction to allow Reps and Warranties section to be modified by agreement of the Parties.  FERC accepted.  Effective as of June 12, 1999.</w:t>
      </w:r>
      <w:r>
        <w:br w:type="page"/>
      </w:r>
    </w:p>
    <w:p>
      <w:pPr>
        <w:pStyle w:val="Normal"/>
        <w:ind w:start="720" w:end="0"/>
        <w:jc w:val="center"/>
        <w:rPr>
          <w:b/>
          <w:sz w:val="44"/>
        </w:rPr>
      </w:pPr>
      <w:r>
        <w:rPr>
          <w:b/>
          <w:sz w:val="44"/>
        </w:rPr>
        <w:t>PROPOSED CHANGES TO WSPP</w:t>
      </w:r>
    </w:p>
    <w:p>
      <w:pPr>
        <w:pStyle w:val="Normal"/>
        <w:ind w:start="720" w:end="0"/>
        <w:jc w:val="center"/>
        <w:rPr>
          <w:sz w:val="44"/>
        </w:rPr>
      </w:pPr>
      <w:r>
        <w:rPr>
          <w:b/>
          <w:sz w:val="44"/>
        </w:rPr>
        <w:t>AGREEMENT AND ISSUES</w:t>
      </w:r>
    </w:p>
    <w:p>
      <w:pPr>
        <w:pStyle w:val="Normal"/>
        <w:ind w:start="720" w:end="0"/>
        <w:jc w:val="center"/>
        <w:rPr>
          <w:sz w:val="44"/>
        </w:rPr>
      </w:pPr>
      <w:r>
        <w:rPr>
          <w:sz w:val="44"/>
        </w:rPr>
      </w:r>
    </w:p>
    <w:p>
      <w:pPr>
        <w:pStyle w:val="BodyText"/>
        <w:rPr/>
      </w:pPr>
      <w:r>
        <w:rPr/>
        <w:tab/>
        <w:t>Three meetings held since last Operating Committee meeting.  Meetings open to all members.  40-70 attendees at each meeting.</w:t>
      </w:r>
    </w:p>
    <w:p>
      <w:pPr>
        <w:pStyle w:val="Normal"/>
        <w:rPr>
          <w:sz w:val="44"/>
        </w:rPr>
      </w:pPr>
      <w:r>
        <w:rPr>
          <w:sz w:val="44"/>
        </w:rPr>
      </w:r>
    </w:p>
    <w:p>
      <w:pPr>
        <w:pStyle w:val="Normal"/>
        <w:rPr>
          <w:sz w:val="44"/>
        </w:rPr>
      </w:pPr>
      <w:r>
        <w:rPr>
          <w:sz w:val="44"/>
        </w:rPr>
        <w:tab/>
        <w:t>Broad discussions on contracting and product issues.  Certain changes were proposed which received substantial opposition.  Those changes are not being put forward here.</w:t>
      </w:r>
    </w:p>
    <w:p>
      <w:pPr>
        <w:pStyle w:val="Normal"/>
        <w:rPr>
          <w:sz w:val="44"/>
        </w:rPr>
      </w:pPr>
      <w:r>
        <w:rPr>
          <w:sz w:val="44"/>
        </w:rPr>
      </w:r>
    </w:p>
    <w:p>
      <w:pPr>
        <w:pStyle w:val="Normal"/>
        <w:rPr>
          <w:sz w:val="44"/>
        </w:rPr>
      </w:pPr>
      <w:r>
        <w:rPr>
          <w:sz w:val="44"/>
        </w:rPr>
        <w:tab/>
        <w:t>Changes that were rejected included:</w:t>
      </w:r>
    </w:p>
    <w:p>
      <w:pPr>
        <w:pStyle w:val="Normal"/>
        <w:rPr>
          <w:sz w:val="44"/>
        </w:rPr>
      </w:pPr>
      <w:r>
        <w:rPr>
          <w:sz w:val="44"/>
        </w:rPr>
      </w:r>
    </w:p>
    <w:p>
      <w:pPr>
        <w:pStyle w:val="BodyTextIndent"/>
        <w:rPr/>
      </w:pPr>
      <w:r>
        <w:rPr/>
        <w:t>(1)</w:t>
        <w:tab/>
        <w:t>an adder to damages for failure to supply firm power.  (</w:t>
      </w:r>
      <w:r>
        <w:rPr>
          <w:u w:val="single"/>
        </w:rPr>
        <w:t>e.g.</w:t>
      </w:r>
      <w:r>
        <w:rPr/>
        <w:t xml:space="preserve"> 110% of damages)</w:t>
      </w:r>
    </w:p>
    <w:p>
      <w:pPr>
        <w:pStyle w:val="Normal"/>
        <w:ind w:hanging="720" w:start="1440" w:end="0"/>
        <w:rPr>
          <w:sz w:val="44"/>
        </w:rPr>
      </w:pPr>
      <w:r>
        <w:rPr>
          <w:sz w:val="44"/>
        </w:rPr>
        <w:t>(2)</w:t>
        <w:tab/>
        <w:t>a provision allowing reopening of the contract if taxes change.</w:t>
      </w:r>
    </w:p>
    <w:p>
      <w:pPr>
        <w:pStyle w:val="Normal"/>
        <w:ind w:hanging="720" w:start="1440" w:end="0"/>
        <w:rPr>
          <w:sz w:val="44"/>
        </w:rPr>
      </w:pPr>
      <w:r>
        <w:rPr>
          <w:sz w:val="44"/>
        </w:rPr>
        <w:t>(3)</w:t>
        <w:tab/>
        <w:t>a provision declaring a party’s failure to perform a number of times under a contract an event of default.</w:t>
      </w:r>
      <w:r>
        <w:br w:type="page"/>
      </w:r>
    </w:p>
    <w:p>
      <w:pPr>
        <w:pStyle w:val="BodyText"/>
        <w:rPr/>
      </w:pPr>
      <w:r>
        <w:rPr/>
        <w:t>Remaining Issues:</w:t>
      </w:r>
    </w:p>
    <w:p>
      <w:pPr>
        <w:pStyle w:val="Normal"/>
        <w:rPr>
          <w:sz w:val="44"/>
        </w:rPr>
      </w:pPr>
      <w:r>
        <w:rPr>
          <w:sz w:val="44"/>
        </w:rPr>
      </w:r>
    </w:p>
    <w:p>
      <w:pPr>
        <w:pStyle w:val="Normal"/>
        <w:rPr>
          <w:sz w:val="44"/>
        </w:rPr>
      </w:pPr>
      <w:r>
        <w:rPr>
          <w:sz w:val="44"/>
        </w:rPr>
        <w:tab/>
        <w:t>Contracting Group split on the following:</w:t>
      </w:r>
    </w:p>
    <w:p>
      <w:pPr>
        <w:pStyle w:val="Normal"/>
        <w:rPr>
          <w:sz w:val="44"/>
        </w:rPr>
      </w:pPr>
      <w:r>
        <w:rPr>
          <w:sz w:val="44"/>
        </w:rPr>
      </w:r>
    </w:p>
    <w:p>
      <w:pPr>
        <w:pStyle w:val="Normal"/>
        <w:ind w:hanging="720" w:start="1440" w:end="0"/>
        <w:rPr>
          <w:sz w:val="44"/>
        </w:rPr>
      </w:pPr>
      <w:r>
        <w:rPr>
          <w:sz w:val="44"/>
        </w:rPr>
        <w:t>§ 21.1.</w:t>
        <w:tab/>
        <w:t>Should the waiver of consequential and punitive damages be negated by knowing or intentional acts, taken or not taken with conscious indifference to the consequences thereof or with intent that injury or damage would result or would probably result therefrom?  This is the existing WSPP language.</w:t>
      </w:r>
    </w:p>
    <w:p>
      <w:pPr>
        <w:pStyle w:val="Normal"/>
        <w:ind w:hanging="720" w:start="1440" w:end="0"/>
        <w:rPr>
          <w:sz w:val="44"/>
        </w:rPr>
      </w:pPr>
      <w:r>
        <w:rPr>
          <w:sz w:val="44"/>
        </w:rPr>
      </w:r>
    </w:p>
    <w:p>
      <w:pPr>
        <w:pStyle w:val="Normal"/>
        <w:ind w:hanging="720" w:start="1440" w:end="0"/>
        <w:rPr>
          <w:sz w:val="44"/>
        </w:rPr>
      </w:pPr>
      <w:r>
        <w:rPr>
          <w:sz w:val="44"/>
        </w:rPr>
        <w:tab/>
        <w:t>Or should consequential and punitive damages be waived in all circumstances?</w:t>
      </w:r>
    </w:p>
    <w:p>
      <w:pPr>
        <w:pStyle w:val="Normal"/>
        <w:ind w:hanging="720" w:start="1440" w:end="0"/>
        <w:rPr>
          <w:sz w:val="44"/>
        </w:rPr>
      </w:pPr>
      <w:r>
        <w:rPr>
          <w:sz w:val="44"/>
        </w:rPr>
      </w:r>
    </w:p>
    <w:p>
      <w:pPr>
        <w:pStyle w:val="Normal"/>
        <w:ind w:hanging="720" w:start="1440" w:end="0"/>
        <w:rPr>
          <w:sz w:val="44"/>
        </w:rPr>
      </w:pPr>
      <w:r>
        <w:rPr>
          <w:sz w:val="44"/>
        </w:rPr>
        <w:t>§ 21.3</w:t>
        <w:tab/>
        <w:t>Should damages include any penalties the performing party pays directly or indirectly under tariffs?</w:t>
      </w:r>
      <w:r>
        <w:br w:type="page"/>
      </w:r>
    </w:p>
    <w:p>
      <w:pPr>
        <w:pStyle w:val="BodyText"/>
        <w:rPr/>
      </w:pPr>
      <w:r>
        <w:rPr/>
        <w:t>Proposed Consensus Changes:</w:t>
      </w:r>
    </w:p>
    <w:p>
      <w:pPr>
        <w:pStyle w:val="Normal"/>
        <w:rPr>
          <w:sz w:val="44"/>
        </w:rPr>
      </w:pPr>
      <w:r>
        <w:rPr>
          <w:sz w:val="44"/>
        </w:rPr>
      </w:r>
    </w:p>
    <w:p>
      <w:pPr>
        <w:pStyle w:val="BodyTextIndent2"/>
        <w:rPr/>
      </w:pPr>
      <w:r>
        <w:rPr/>
        <w:t>Service Schedule C – Revised to eliminate ambiguity to allow termination of Operating Procedure 3.</w:t>
      </w:r>
    </w:p>
    <w:p>
      <w:pPr>
        <w:pStyle w:val="Normal"/>
        <w:ind w:hanging="720" w:start="720" w:end="0"/>
        <w:rPr>
          <w:sz w:val="44"/>
        </w:rPr>
      </w:pPr>
      <w:r>
        <w:rPr>
          <w:sz w:val="44"/>
        </w:rPr>
      </w:r>
    </w:p>
    <w:p>
      <w:pPr>
        <w:pStyle w:val="BodyTextIndent3"/>
        <w:rPr/>
      </w:pPr>
      <w:r>
        <w:rPr/>
        <w:t>Defined Firm Power as power for which Seller has arranged reserves adequate to meet the applicable reserve requirements for which the only excuses for failure to deliver or receive are those set forth in Section C-3.6.  Responsibility placed on Seller to take the steps necessary to produce a firm product.</w:t>
      </w:r>
    </w:p>
    <w:p>
      <w:pPr>
        <w:pStyle w:val="Normal"/>
        <w:ind w:start="720" w:end="0"/>
        <w:rPr>
          <w:sz w:val="44"/>
        </w:rPr>
      </w:pPr>
      <w:r>
        <w:rPr>
          <w:sz w:val="44"/>
        </w:rPr>
      </w:r>
    </w:p>
    <w:p>
      <w:pPr>
        <w:pStyle w:val="Normal"/>
        <w:ind w:start="720" w:end="0"/>
        <w:rPr>
          <w:sz w:val="44"/>
        </w:rPr>
      </w:pPr>
      <w:r>
        <w:rPr>
          <w:sz w:val="44"/>
        </w:rPr>
        <w:t>Meeting on October 7 in Phoenix to discuss a better definition of the reserves required for the power to be considered Firm Power.  If agreement, language will be added before the Executive Committee meeting.</w:t>
      </w:r>
      <w:r>
        <w:br w:type="page"/>
      </w:r>
    </w:p>
    <w:p>
      <w:pPr>
        <w:pStyle w:val="BodyText"/>
        <w:rPr/>
      </w:pPr>
      <w:r>
        <w:rPr/>
        <w:t>Consensus Changes continued</w:t>
      </w:r>
    </w:p>
    <w:p>
      <w:pPr>
        <w:pStyle w:val="BodyText"/>
        <w:rPr/>
      </w:pPr>
      <w:r>
        <w:rPr/>
      </w:r>
    </w:p>
    <w:p>
      <w:pPr>
        <w:pStyle w:val="BodyText"/>
        <w:rPr/>
      </w:pPr>
      <w:r>
        <w:rPr/>
        <w:t>Better defined terms of interruption:</w:t>
      </w:r>
    </w:p>
    <w:p>
      <w:pPr>
        <w:pStyle w:val="Normal"/>
        <w:rPr>
          <w:sz w:val="44"/>
        </w:rPr>
      </w:pPr>
      <w:r>
        <w:rPr>
          <w:sz w:val="44"/>
        </w:rPr>
      </w:r>
    </w:p>
    <w:p>
      <w:pPr>
        <w:pStyle w:val="BodyTextIndent"/>
        <w:rPr/>
      </w:pPr>
      <w:r>
        <w:rPr/>
        <w:t>(a)</w:t>
        <w:tab/>
        <w:t>within the recall time; allowed by other mutually agreed to provisions (Current version – only within recall time.)</w:t>
      </w:r>
    </w:p>
    <w:p>
      <w:pPr>
        <w:pStyle w:val="Normal"/>
        <w:ind w:hanging="720" w:start="1440" w:end="0"/>
        <w:rPr>
          <w:sz w:val="44"/>
        </w:rPr>
      </w:pPr>
      <w:r>
        <w:rPr>
          <w:sz w:val="44"/>
        </w:rPr>
      </w:r>
    </w:p>
    <w:p>
      <w:pPr>
        <w:pStyle w:val="Normal"/>
        <w:ind w:hanging="720" w:start="1440" w:end="0"/>
        <w:rPr>
          <w:sz w:val="44"/>
        </w:rPr>
      </w:pPr>
      <w:r>
        <w:rPr>
          <w:sz w:val="44"/>
        </w:rPr>
        <w:t>(b)</w:t>
        <w:tab/>
        <w:t>force majeure</w:t>
      </w:r>
    </w:p>
    <w:p>
      <w:pPr>
        <w:pStyle w:val="Normal"/>
        <w:ind w:hanging="720" w:start="1440" w:end="0"/>
        <w:rPr>
          <w:sz w:val="44"/>
        </w:rPr>
      </w:pPr>
      <w:r>
        <w:rPr>
          <w:sz w:val="44"/>
        </w:rPr>
        <w:tab/>
        <w:t>(Current version refers to emergencies.)</w:t>
      </w:r>
    </w:p>
    <w:p>
      <w:pPr>
        <w:pStyle w:val="Normal"/>
        <w:ind w:hanging="720" w:start="1440" w:end="0"/>
        <w:rPr>
          <w:sz w:val="44"/>
        </w:rPr>
      </w:pPr>
      <w:r>
        <w:rPr>
          <w:sz w:val="44"/>
        </w:rPr>
      </w:r>
    </w:p>
    <w:p>
      <w:pPr>
        <w:pStyle w:val="Normal"/>
        <w:ind w:hanging="720" w:start="1440" w:end="0"/>
        <w:rPr>
          <w:sz w:val="44"/>
        </w:rPr>
      </w:pPr>
      <w:r>
        <w:rPr>
          <w:sz w:val="44"/>
        </w:rPr>
        <w:t>(c)</w:t>
        <w:tab/>
        <w:t>to meet public utility or statutory obligations, provided that a Seller interrupting for these reasons shall pay damages.</w:t>
      </w:r>
    </w:p>
    <w:p>
      <w:pPr>
        <w:pStyle w:val="Normal"/>
        <w:ind w:hanging="720" w:start="1440" w:end="0"/>
        <w:rPr>
          <w:sz w:val="44"/>
        </w:rPr>
      </w:pPr>
      <w:r>
        <w:rPr>
          <w:sz w:val="44"/>
        </w:rPr>
      </w:r>
    </w:p>
    <w:p>
      <w:pPr>
        <w:pStyle w:val="Normal"/>
        <w:ind w:start="720" w:end="0"/>
        <w:rPr>
          <w:sz w:val="44"/>
        </w:rPr>
      </w:pPr>
      <w:r>
        <w:rPr>
          <w:sz w:val="44"/>
        </w:rPr>
        <w:t>Added sentence to § 21.3 stating that the cost of the purchase of reserves that the Seller fails to provide to satisfy Service Schedule C is included in the damages to be recovered.</w:t>
      </w:r>
      <w:r>
        <w:br w:type="page"/>
      </w:r>
    </w:p>
    <w:p>
      <w:pPr>
        <w:pStyle w:val="Normal"/>
        <w:rPr>
          <w:sz w:val="44"/>
        </w:rPr>
      </w:pPr>
      <w:r>
        <w:rPr>
          <w:sz w:val="44"/>
        </w:rPr>
        <w:t>Consensus Changes continued</w:t>
      </w:r>
    </w:p>
    <w:p>
      <w:pPr>
        <w:pStyle w:val="Normal"/>
        <w:ind w:start="720" w:end="0"/>
        <w:rPr>
          <w:sz w:val="44"/>
        </w:rPr>
      </w:pPr>
      <w:r>
        <w:rPr>
          <w:sz w:val="44"/>
        </w:rPr>
      </w:r>
    </w:p>
    <w:p>
      <w:pPr>
        <w:pStyle w:val="Normal"/>
        <w:ind w:start="720" w:end="0"/>
        <w:rPr>
          <w:sz w:val="44"/>
        </w:rPr>
      </w:pPr>
      <w:r>
        <w:rPr>
          <w:sz w:val="44"/>
        </w:rPr>
        <w:t>Minor changes to Service Schedule C to flip pricing provisions to put market pricing first.  No substantive change.</w:t>
      </w:r>
    </w:p>
    <w:p>
      <w:pPr>
        <w:pStyle w:val="Normal"/>
        <w:ind w:start="720" w:end="0"/>
        <w:rPr>
          <w:sz w:val="44"/>
        </w:rPr>
      </w:pPr>
      <w:r>
        <w:rPr>
          <w:sz w:val="44"/>
        </w:rPr>
      </w:r>
    </w:p>
    <w:p>
      <w:pPr>
        <w:pStyle w:val="Normal"/>
        <w:ind w:start="720" w:end="0"/>
        <w:rPr>
          <w:sz w:val="44"/>
        </w:rPr>
      </w:pPr>
      <w:r>
        <w:rPr>
          <w:sz w:val="44"/>
        </w:rPr>
      </w:r>
      <w:r>
        <w:br w:type="page"/>
      </w:r>
    </w:p>
    <w:p>
      <w:pPr>
        <w:pStyle w:val="Normal"/>
        <w:rPr>
          <w:sz w:val="40"/>
        </w:rPr>
      </w:pPr>
      <w:r>
        <w:rPr>
          <w:sz w:val="40"/>
        </w:rPr>
        <w:t>Consensus Changes continued</w:t>
      </w:r>
    </w:p>
    <w:p>
      <w:pPr>
        <w:pStyle w:val="Normal"/>
        <w:rPr>
          <w:sz w:val="40"/>
        </w:rPr>
      </w:pPr>
      <w:r>
        <w:rPr>
          <w:sz w:val="40"/>
        </w:rPr>
      </w:r>
    </w:p>
    <w:p>
      <w:pPr>
        <w:pStyle w:val="Normal"/>
        <w:rPr>
          <w:sz w:val="40"/>
        </w:rPr>
      </w:pPr>
      <w:r>
        <w:rPr>
          <w:sz w:val="40"/>
        </w:rPr>
        <w:t>Options</w:t>
      </w:r>
    </w:p>
    <w:p>
      <w:pPr>
        <w:pStyle w:val="Normal"/>
        <w:rPr>
          <w:sz w:val="40"/>
        </w:rPr>
      </w:pPr>
      <w:r>
        <w:rPr>
          <w:sz w:val="40"/>
        </w:rPr>
      </w:r>
    </w:p>
    <w:p>
      <w:pPr>
        <w:pStyle w:val="Normal"/>
        <w:numPr>
          <w:ilvl w:val="0"/>
          <w:numId w:val="17"/>
        </w:numPr>
        <w:tabs>
          <w:tab w:val="clear" w:pos="720"/>
          <w:tab w:val="left" w:pos="1440" w:leader="none"/>
        </w:tabs>
        <w:ind w:hanging="720" w:start="1440" w:end="0"/>
        <w:rPr>
          <w:sz w:val="40"/>
        </w:rPr>
      </w:pPr>
      <w:r>
        <w:rPr>
          <w:sz w:val="40"/>
        </w:rPr>
        <w:t>Added to WSPP Agreement.  Previously, options have been sold under WSPP Agreement.  In some instances, this has been done through the use of a demand charge.  Some members desire that options be explicitly allowed.</w:t>
      </w:r>
    </w:p>
    <w:p>
      <w:pPr>
        <w:pStyle w:val="Normal"/>
        <w:numPr>
          <w:ilvl w:val="0"/>
          <w:numId w:val="17"/>
        </w:numPr>
        <w:tabs>
          <w:tab w:val="clear" w:pos="720"/>
          <w:tab w:val="left" w:pos="1440" w:leader="none"/>
        </w:tabs>
        <w:ind w:hanging="720" w:start="1440" w:end="0"/>
        <w:rPr>
          <w:sz w:val="40"/>
        </w:rPr>
      </w:pPr>
      <w:r>
        <w:rPr>
          <w:sz w:val="40"/>
        </w:rPr>
        <w:t>Added definition of Physically-Settled Option and Premium.</w:t>
      </w:r>
    </w:p>
    <w:p>
      <w:pPr>
        <w:pStyle w:val="Normal"/>
        <w:numPr>
          <w:ilvl w:val="0"/>
          <w:numId w:val="17"/>
        </w:numPr>
        <w:tabs>
          <w:tab w:val="clear" w:pos="720"/>
          <w:tab w:val="left" w:pos="1440" w:leader="none"/>
        </w:tabs>
        <w:ind w:hanging="720" w:start="1440" w:end="0"/>
        <w:rPr>
          <w:sz w:val="40"/>
        </w:rPr>
      </w:pPr>
      <w:r>
        <w:rPr>
          <w:sz w:val="40"/>
        </w:rPr>
        <w:t>Added language to 22.3, Liquidation Calculation, to refer to NYMEX power options contracts.</w:t>
      </w:r>
    </w:p>
    <w:p>
      <w:pPr>
        <w:pStyle w:val="Normal"/>
        <w:numPr>
          <w:ilvl w:val="0"/>
          <w:numId w:val="17"/>
        </w:numPr>
        <w:tabs>
          <w:tab w:val="clear" w:pos="720"/>
          <w:tab w:val="left" w:pos="1440" w:leader="none"/>
        </w:tabs>
        <w:ind w:hanging="720" w:start="1440" w:end="0"/>
        <w:rPr>
          <w:sz w:val="40"/>
        </w:rPr>
      </w:pPr>
      <w:r>
        <w:rPr>
          <w:sz w:val="40"/>
        </w:rPr>
        <w:t>Added language to Firm Power Sale Service and to Unit Commitment Service definitions to incorporate Physically-Settled Options under those services.  (But not under Service Schedule A.)</w:t>
      </w:r>
    </w:p>
    <w:p>
      <w:pPr>
        <w:pStyle w:val="Normal"/>
        <w:numPr>
          <w:ilvl w:val="0"/>
          <w:numId w:val="17"/>
        </w:numPr>
        <w:tabs>
          <w:tab w:val="clear" w:pos="720"/>
          <w:tab w:val="left" w:pos="1440" w:leader="none"/>
        </w:tabs>
        <w:ind w:hanging="720" w:start="1440" w:end="0"/>
        <w:rPr>
          <w:sz w:val="40"/>
        </w:rPr>
      </w:pPr>
      <w:r>
        <w:rPr>
          <w:sz w:val="40"/>
        </w:rPr>
        <w:t>Revised form of Confirmation Agreement.</w:t>
      </w:r>
    </w:p>
    <w:p>
      <w:pPr>
        <w:pStyle w:val="Normal"/>
        <w:numPr>
          <w:ilvl w:val="0"/>
          <w:numId w:val="17"/>
        </w:numPr>
        <w:tabs>
          <w:tab w:val="clear" w:pos="720"/>
          <w:tab w:val="left" w:pos="1440" w:leader="none"/>
        </w:tabs>
        <w:ind w:hanging="720" w:start="1440" w:end="0"/>
        <w:rPr>
          <w:sz w:val="40"/>
        </w:rPr>
      </w:pPr>
      <w:r>
        <w:rPr>
          <w:sz w:val="40"/>
        </w:rPr>
        <w:t>Added new Section 36 stating that the options qualify under the CFTC’s trade option exception.</w:t>
      </w:r>
      <w:r>
        <w:br w:type="page"/>
      </w:r>
    </w:p>
    <w:p>
      <w:pPr>
        <w:pStyle w:val="Normal"/>
        <w:rPr>
          <w:sz w:val="44"/>
        </w:rPr>
      </w:pPr>
      <w:r>
        <w:rPr>
          <w:sz w:val="44"/>
        </w:rPr>
        <w:t>Consensus Changes continued</w:t>
      </w:r>
    </w:p>
    <w:p>
      <w:pPr>
        <w:pStyle w:val="Normal"/>
        <w:rPr>
          <w:sz w:val="44"/>
        </w:rPr>
      </w:pPr>
      <w:r>
        <w:rPr>
          <w:sz w:val="44"/>
        </w:rPr>
      </w:r>
    </w:p>
    <w:p>
      <w:pPr>
        <w:pStyle w:val="Normal"/>
        <w:rPr>
          <w:sz w:val="44"/>
        </w:rPr>
      </w:pPr>
      <w:r>
        <w:rPr>
          <w:sz w:val="44"/>
        </w:rPr>
        <w:t>Audit Provisions Added</w:t>
      </w:r>
    </w:p>
    <w:p>
      <w:pPr>
        <w:pStyle w:val="Normal"/>
        <w:rPr>
          <w:sz w:val="44"/>
        </w:rPr>
      </w:pPr>
      <w:r>
        <w:rPr>
          <w:sz w:val="44"/>
        </w:rPr>
      </w:r>
    </w:p>
    <w:p>
      <w:pPr>
        <w:pStyle w:val="BodyTextIndent"/>
        <w:numPr>
          <w:ilvl w:val="0"/>
          <w:numId w:val="9"/>
        </w:numPr>
        <w:ind w:hanging="1440" w:start="2160" w:end="0"/>
        <w:rPr/>
      </w:pPr>
      <w:r>
        <w:rPr/>
        <w:t>9.4</w:t>
        <w:tab/>
        <w:t>No right to dispute bill more than 2 years after original bill.</w:t>
      </w:r>
    </w:p>
    <w:p>
      <w:pPr>
        <w:pStyle w:val="Normal"/>
        <w:ind w:hanging="720" w:start="1440" w:end="0"/>
        <w:rPr>
          <w:sz w:val="44"/>
        </w:rPr>
      </w:pPr>
      <w:r>
        <w:rPr>
          <w:sz w:val="44"/>
        </w:rPr>
      </w:r>
    </w:p>
    <w:p>
      <w:pPr>
        <w:pStyle w:val="Normal"/>
        <w:numPr>
          <w:ilvl w:val="0"/>
          <w:numId w:val="5"/>
        </w:numPr>
        <w:ind w:hanging="1440" w:start="2160" w:end="0"/>
        <w:rPr>
          <w:sz w:val="44"/>
        </w:rPr>
      </w:pPr>
      <w:r>
        <w:rPr>
          <w:sz w:val="44"/>
        </w:rPr>
        <w:t>9.5</w:t>
        <w:tab/>
        <w:t>May correct failure to bill within 2 years.</w:t>
      </w:r>
    </w:p>
    <w:p>
      <w:pPr>
        <w:pStyle w:val="Normal"/>
        <w:ind w:hanging="720" w:start="1440" w:end="0"/>
        <w:rPr>
          <w:sz w:val="44"/>
        </w:rPr>
      </w:pPr>
      <w:r>
        <w:rPr>
          <w:sz w:val="44"/>
        </w:rPr>
      </w:r>
    </w:p>
    <w:p>
      <w:pPr>
        <w:pStyle w:val="Normal"/>
        <w:numPr>
          <w:ilvl w:val="0"/>
          <w:numId w:val="18"/>
        </w:numPr>
        <w:ind w:hanging="1440" w:start="2160" w:end="0"/>
        <w:rPr>
          <w:sz w:val="44"/>
        </w:rPr>
      </w:pPr>
      <w:r>
        <w:rPr>
          <w:sz w:val="44"/>
        </w:rPr>
        <w:t>9.6</w:t>
        <w:tab/>
        <w:t>Maintain records for 2 years.  Audit rights for 2 years.</w:t>
      </w:r>
    </w:p>
    <w:p>
      <w:pPr>
        <w:pStyle w:val="Normal"/>
        <w:ind w:hanging="720" w:start="1440" w:end="0"/>
        <w:rPr>
          <w:sz w:val="44"/>
        </w:rPr>
      </w:pPr>
      <w:r>
        <w:rPr>
          <w:sz w:val="44"/>
        </w:rPr>
      </w:r>
    </w:p>
    <w:p>
      <w:pPr>
        <w:pStyle w:val="BodyTextIndent2"/>
        <w:rPr/>
      </w:pPr>
      <w:r>
        <w:rPr/>
        <w:t>Liability of Federal Agencies or Officials.</w:t>
      </w:r>
    </w:p>
    <w:p>
      <w:pPr>
        <w:pStyle w:val="Normal"/>
        <w:ind w:hanging="720" w:start="1440" w:end="0"/>
        <w:rPr>
          <w:sz w:val="44"/>
        </w:rPr>
      </w:pPr>
      <w:r>
        <w:rPr>
          <w:sz w:val="44"/>
        </w:rPr>
      </w:r>
    </w:p>
    <w:p>
      <w:pPr>
        <w:pStyle w:val="Normal"/>
        <w:numPr>
          <w:ilvl w:val="0"/>
          <w:numId w:val="16"/>
        </w:numPr>
        <w:tabs>
          <w:tab w:val="clear" w:pos="720"/>
          <w:tab w:val="left" w:pos="1440" w:leader="none"/>
        </w:tabs>
        <w:ind w:hanging="720" w:start="1440" w:end="0"/>
        <w:rPr>
          <w:sz w:val="44"/>
        </w:rPr>
      </w:pPr>
      <w:r>
        <w:rPr>
          <w:sz w:val="44"/>
        </w:rPr>
        <w:t>Added to Section 21.1 a provision stating that liability or damages shall not be inconsistent with Federal law.</w:t>
      </w:r>
      <w:r>
        <w:br w:type="page"/>
      </w:r>
    </w:p>
    <w:p>
      <w:pPr>
        <w:pStyle w:val="Normal"/>
        <w:rPr>
          <w:sz w:val="44"/>
        </w:rPr>
      </w:pPr>
      <w:r>
        <w:rPr>
          <w:sz w:val="44"/>
        </w:rPr>
        <w:t>Netting</w:t>
      </w:r>
    </w:p>
    <w:p>
      <w:pPr>
        <w:pStyle w:val="Normal"/>
        <w:rPr>
          <w:sz w:val="44"/>
        </w:rPr>
      </w:pPr>
      <w:r>
        <w:rPr>
          <w:sz w:val="44"/>
        </w:rPr>
      </w:r>
    </w:p>
    <w:p>
      <w:pPr>
        <w:pStyle w:val="Normal"/>
        <w:ind w:hanging="720" w:start="1440" w:end="0"/>
        <w:rPr/>
      </w:pPr>
      <w:r>
        <w:rPr>
          <w:sz w:val="44"/>
        </w:rPr>
        <w:t>28.2</w:t>
        <w:tab/>
        <w:t xml:space="preserve">Added sentence making clear that the Parties obligation to net shall include the netting of all payments received by the Parties in the same calendar month.  Addresses fact that payment dates may be different; </w:t>
      </w:r>
      <w:r>
        <w:rPr>
          <w:sz w:val="44"/>
          <w:u w:val="single"/>
        </w:rPr>
        <w:t>i.e.</w:t>
      </w:r>
      <w:r>
        <w:rPr>
          <w:sz w:val="44"/>
        </w:rPr>
        <w:t>, 20</w:t>
      </w:r>
      <w:r>
        <w:rPr>
          <w:sz w:val="44"/>
          <w:vertAlign w:val="superscript"/>
        </w:rPr>
        <w:t>th</w:t>
      </w:r>
      <w:r>
        <w:rPr>
          <w:sz w:val="44"/>
        </w:rPr>
        <w:t xml:space="preserve"> day of the month or 10 days after receiving the bill.</w:t>
      </w:r>
      <w:r>
        <w:br w:type="page"/>
      </w:r>
    </w:p>
    <w:p>
      <w:pPr>
        <w:pStyle w:val="Normal"/>
        <w:ind w:hanging="720" w:start="720" w:end="0"/>
        <w:rPr>
          <w:sz w:val="44"/>
        </w:rPr>
      </w:pPr>
      <w:r>
        <w:rPr>
          <w:sz w:val="44"/>
        </w:rPr>
        <w:t>Process Matters</w:t>
      </w:r>
    </w:p>
    <w:p>
      <w:pPr>
        <w:pStyle w:val="Normal"/>
        <w:ind w:hanging="720" w:start="720" w:end="0"/>
        <w:rPr>
          <w:sz w:val="44"/>
        </w:rPr>
      </w:pPr>
      <w:r>
        <w:rPr>
          <w:sz w:val="44"/>
        </w:rPr>
      </w:r>
    </w:p>
    <w:p>
      <w:pPr>
        <w:pStyle w:val="Normal"/>
        <w:numPr>
          <w:ilvl w:val="0"/>
          <w:numId w:val="20"/>
        </w:numPr>
        <w:ind w:hanging="1440" w:start="2160" w:end="0"/>
        <w:rPr>
          <w:sz w:val="44"/>
        </w:rPr>
      </w:pPr>
      <w:r>
        <w:rPr>
          <w:sz w:val="44"/>
        </w:rPr>
        <w:t>32.3</w:t>
        <w:tab/>
        <w:t>To provision explaining when provisions may be changed in Confirmation Agreements, added “or are additions which are not in conflict with any provision of this Agreement.”</w:t>
      </w:r>
    </w:p>
    <w:p>
      <w:pPr>
        <w:pStyle w:val="Normal"/>
        <w:ind w:start="2160" w:end="0"/>
        <w:rPr>
          <w:sz w:val="44"/>
        </w:rPr>
      </w:pPr>
      <w:r>
        <w:rPr>
          <w:sz w:val="44"/>
        </w:rPr>
        <w:tab/>
        <w:t>Added for clarity to allow provisions to be added which do not exist in the Agreement.</w:t>
      </w:r>
    </w:p>
    <w:p>
      <w:pPr>
        <w:pStyle w:val="Normal"/>
        <w:numPr>
          <w:ilvl w:val="0"/>
          <w:numId w:val="19"/>
        </w:numPr>
        <w:ind w:hanging="1440" w:start="2160" w:end="0"/>
        <w:rPr>
          <w:sz w:val="44"/>
        </w:rPr>
      </w:pPr>
      <w:r>
        <w:rPr>
          <w:sz w:val="44"/>
        </w:rPr>
        <w:t>32.4</w:t>
        <w:tab/>
        <w:t>Clarified that parties will be required to file written confirmations as provided for in service schedules (essentially - long term agreements).  Provision was in error.</w:t>
      </w:r>
    </w:p>
    <w:p>
      <w:pPr>
        <w:pStyle w:val="Normal"/>
        <w:numPr>
          <w:ilvl w:val="0"/>
          <w:numId w:val="22"/>
        </w:numPr>
        <w:ind w:hanging="1440" w:start="2160" w:end="0"/>
        <w:rPr>
          <w:sz w:val="44"/>
        </w:rPr>
      </w:pPr>
      <w:r>
        <w:rPr>
          <w:sz w:val="44"/>
        </w:rPr>
        <w:t>38</w:t>
        <w:tab/>
        <w:t>Amendments -</w:t>
      </w:r>
    </w:p>
    <w:p>
      <w:pPr>
        <w:pStyle w:val="Normal"/>
        <w:ind w:hanging="720" w:start="2880" w:end="0"/>
        <w:rPr>
          <w:sz w:val="44"/>
        </w:rPr>
      </w:pPr>
      <w:r>
        <w:rPr>
          <w:sz w:val="44"/>
        </w:rPr>
        <w:t>-</w:t>
        <w:tab/>
        <w:t>Amendments are binding without execution.</w:t>
      </w:r>
    </w:p>
    <w:p>
      <w:pPr>
        <w:pStyle w:val="Normal"/>
        <w:ind w:hanging="720" w:start="2880" w:end="0"/>
        <w:rPr>
          <w:sz w:val="44"/>
        </w:rPr>
      </w:pPr>
      <w:r>
        <w:rPr>
          <w:sz w:val="44"/>
        </w:rPr>
        <w:t>-</w:t>
        <w:tab/>
        <w:t>Amendments only apply to transactions entered into after the amendment date.</w:t>
      </w:r>
    </w:p>
    <w:p>
      <w:pPr>
        <w:pStyle w:val="Normal"/>
        <w:ind w:hanging="720" w:start="2880" w:end="0"/>
        <w:rPr>
          <w:sz w:val="44"/>
        </w:rPr>
      </w:pPr>
      <w:r>
        <w:rPr>
          <w:sz w:val="44"/>
        </w:rPr>
        <w:t>-</w:t>
        <w:tab/>
        <w:t>Amendment needs no consideration.</w:t>
      </w:r>
      <w:r>
        <w:br w:type="page"/>
      </w:r>
    </w:p>
    <w:p>
      <w:pPr>
        <w:pStyle w:val="Normal"/>
        <w:ind w:hanging="720" w:start="720" w:end="0"/>
        <w:rPr>
          <w:sz w:val="44"/>
        </w:rPr>
      </w:pPr>
      <w:r>
        <w:rPr>
          <w:sz w:val="44"/>
        </w:rPr>
        <w:t>Arbitration</w:t>
      </w:r>
    </w:p>
    <w:p>
      <w:pPr>
        <w:pStyle w:val="Normal"/>
        <w:ind w:hanging="720" w:start="720" w:end="0"/>
        <w:rPr>
          <w:sz w:val="44"/>
        </w:rPr>
      </w:pPr>
      <w:r>
        <w:rPr>
          <w:sz w:val="44"/>
        </w:rPr>
      </w:r>
    </w:p>
    <w:p>
      <w:pPr>
        <w:pStyle w:val="Normal"/>
        <w:numPr>
          <w:ilvl w:val="0"/>
          <w:numId w:val="8"/>
        </w:numPr>
        <w:ind w:hanging="1440" w:start="2160" w:end="0"/>
        <w:rPr>
          <w:sz w:val="44"/>
        </w:rPr>
      </w:pPr>
      <w:r>
        <w:rPr>
          <w:sz w:val="44"/>
        </w:rPr>
        <w:t>34.2</w:t>
        <w:tab/>
        <w:t>Capped liability and damages through arbitration at the damage levels calculated in accordance with the Agreement or Confirmation Agreement.</w:t>
      </w:r>
    </w:p>
    <w:p>
      <w:pPr>
        <w:pStyle w:val="Normal"/>
        <w:ind w:hanging="720" w:start="1440" w:end="0"/>
        <w:rPr>
          <w:sz w:val="44"/>
        </w:rPr>
      </w:pPr>
      <w:r>
        <w:rPr>
          <w:sz w:val="44"/>
        </w:rPr>
      </w:r>
    </w:p>
    <w:p>
      <w:pPr>
        <w:pStyle w:val="Normal"/>
        <w:ind w:hanging="720" w:start="720" w:end="0"/>
        <w:rPr>
          <w:sz w:val="44"/>
        </w:rPr>
      </w:pPr>
      <w:r>
        <w:rPr>
          <w:sz w:val="44"/>
        </w:rPr>
        <w:t>Procedures</w:t>
      </w:r>
    </w:p>
    <w:p>
      <w:pPr>
        <w:pStyle w:val="Normal"/>
        <w:ind w:hanging="720" w:start="720" w:end="0"/>
        <w:rPr>
          <w:sz w:val="44"/>
        </w:rPr>
      </w:pPr>
      <w:r>
        <w:rPr>
          <w:sz w:val="44"/>
        </w:rPr>
      </w:r>
    </w:p>
    <w:p>
      <w:pPr>
        <w:pStyle w:val="Normal"/>
        <w:numPr>
          <w:ilvl w:val="0"/>
          <w:numId w:val="3"/>
        </w:numPr>
        <w:tabs>
          <w:tab w:val="clear" w:pos="720"/>
          <w:tab w:val="left" w:pos="1440" w:leader="none"/>
        </w:tabs>
        <w:ind w:hanging="720" w:start="1440" w:end="0"/>
        <w:rPr>
          <w:sz w:val="44"/>
        </w:rPr>
      </w:pPr>
      <w:r>
        <w:rPr>
          <w:sz w:val="44"/>
        </w:rPr>
        <w:t>Informal Mediation process - Call involving Chair of OC, GC, or others.</w:t>
      </w:r>
    </w:p>
    <w:p>
      <w:pPr>
        <w:pStyle w:val="Normal"/>
        <w:numPr>
          <w:ilvl w:val="0"/>
          <w:numId w:val="2"/>
        </w:numPr>
        <w:tabs>
          <w:tab w:val="clear" w:pos="720"/>
          <w:tab w:val="left" w:pos="1440" w:leader="none"/>
        </w:tabs>
        <w:ind w:hanging="720" w:start="1440" w:end="0"/>
        <w:rPr>
          <w:sz w:val="44"/>
        </w:rPr>
      </w:pPr>
      <w:r>
        <w:rPr>
          <w:sz w:val="44"/>
        </w:rPr>
        <w:t xml:space="preserve">Formal mediation process </w:t>
      </w:r>
    </w:p>
    <w:p>
      <w:pPr>
        <w:pStyle w:val="Normal"/>
        <w:numPr>
          <w:ilvl w:val="0"/>
          <w:numId w:val="12"/>
        </w:numPr>
        <w:tabs>
          <w:tab w:val="clear" w:pos="720"/>
          <w:tab w:val="left" w:pos="1440" w:leader="none"/>
        </w:tabs>
        <w:ind w:hanging="720" w:start="1440" w:end="0"/>
        <w:rPr>
          <w:sz w:val="44"/>
        </w:rPr>
      </w:pPr>
      <w:r>
        <w:rPr>
          <w:sz w:val="44"/>
        </w:rPr>
        <w:t>Arbitration procedures</w:t>
      </w:r>
    </w:p>
    <w:p>
      <w:pPr>
        <w:pStyle w:val="Normal"/>
        <w:numPr>
          <w:ilvl w:val="0"/>
          <w:numId w:val="11"/>
        </w:numPr>
        <w:tabs>
          <w:tab w:val="clear" w:pos="720"/>
          <w:tab w:val="left" w:pos="1440" w:leader="none"/>
        </w:tabs>
        <w:ind w:hanging="720" w:start="1440" w:end="0"/>
        <w:rPr>
          <w:sz w:val="44"/>
        </w:rPr>
      </w:pPr>
      <w:r>
        <w:rPr>
          <w:sz w:val="44"/>
        </w:rPr>
        <w:t>Consider adopting as an OC Administrative Procedure.</w:t>
      </w:r>
    </w:p>
    <w:p>
      <w:pPr>
        <w:pStyle w:val="Normal"/>
        <w:numPr>
          <w:ilvl w:val="0"/>
          <w:numId w:val="10"/>
        </w:numPr>
        <w:tabs>
          <w:tab w:val="clear" w:pos="720"/>
          <w:tab w:val="left" w:pos="1440" w:leader="none"/>
        </w:tabs>
        <w:ind w:hanging="720" w:start="1440" w:end="0"/>
        <w:rPr>
          <w:sz w:val="44"/>
        </w:rPr>
      </w:pPr>
      <w:r>
        <w:rPr>
          <w:sz w:val="44"/>
        </w:rPr>
        <w:t>Have developed list of arbitrators/mediators.</w:t>
      </w:r>
      <w:r>
        <w:br w:type="page"/>
      </w:r>
    </w:p>
    <w:p>
      <w:pPr>
        <w:pStyle w:val="Normal"/>
        <w:ind w:hanging="720" w:start="720" w:end="0"/>
        <w:jc w:val="center"/>
        <w:rPr>
          <w:b/>
          <w:sz w:val="44"/>
        </w:rPr>
      </w:pPr>
      <w:r>
        <w:rPr>
          <w:b/>
          <w:sz w:val="44"/>
        </w:rPr>
        <w:t>OTHER CHANGES</w:t>
      </w:r>
    </w:p>
    <w:p>
      <w:pPr>
        <w:pStyle w:val="Normal"/>
        <w:ind w:hanging="720" w:start="720" w:end="0"/>
        <w:jc w:val="center"/>
        <w:rPr>
          <w:b/>
          <w:sz w:val="44"/>
        </w:rPr>
      </w:pPr>
      <w:r>
        <w:rPr>
          <w:b/>
          <w:sz w:val="44"/>
        </w:rPr>
      </w:r>
    </w:p>
    <w:p>
      <w:pPr>
        <w:pStyle w:val="Normal"/>
        <w:rPr>
          <w:sz w:val="44"/>
        </w:rPr>
      </w:pPr>
      <w:r>
        <w:rPr>
          <w:sz w:val="44"/>
        </w:rPr>
        <w:tab/>
        <w:t>Added definitions of Guarantee Agreement, Guarantor, and Letter of Credit.</w:t>
      </w:r>
    </w:p>
    <w:p>
      <w:pPr>
        <w:pStyle w:val="Normal"/>
        <w:rPr>
          <w:sz w:val="44"/>
        </w:rPr>
      </w:pPr>
      <w:r>
        <w:rPr>
          <w:sz w:val="44"/>
        </w:rPr>
      </w:r>
    </w:p>
    <w:p>
      <w:pPr>
        <w:pStyle w:val="Normal"/>
        <w:rPr>
          <w:sz w:val="44"/>
        </w:rPr>
      </w:pPr>
      <w:r>
        <w:rPr>
          <w:sz w:val="44"/>
        </w:rPr>
        <w:tab/>
        <w:t>Minor corrections or non-substantive revisions.</w:t>
      </w:r>
    </w:p>
    <w:p>
      <w:pPr>
        <w:pStyle w:val="Normal"/>
        <w:rPr>
          <w:sz w:val="44"/>
        </w:rPr>
      </w:pPr>
      <w:r>
        <w:rPr>
          <w:sz w:val="44"/>
        </w:rPr>
      </w:r>
      <w:r>
        <w:br w:type="page"/>
      </w:r>
    </w:p>
    <w:p>
      <w:pPr>
        <w:pStyle w:val="Normal"/>
        <w:jc w:val="center"/>
        <w:rPr>
          <w:b/>
          <w:sz w:val="44"/>
        </w:rPr>
      </w:pPr>
      <w:r>
        <w:rPr>
          <w:b/>
          <w:sz w:val="44"/>
        </w:rPr>
        <w:t>WHAT IS THE OC BEING</w:t>
      </w:r>
    </w:p>
    <w:p>
      <w:pPr>
        <w:pStyle w:val="Normal"/>
        <w:jc w:val="center"/>
        <w:rPr>
          <w:sz w:val="44"/>
        </w:rPr>
      </w:pPr>
      <w:r>
        <w:rPr>
          <w:b/>
          <w:sz w:val="44"/>
        </w:rPr>
        <w:t>REQUESTED TO DO?</w:t>
      </w:r>
    </w:p>
    <w:p>
      <w:pPr>
        <w:pStyle w:val="Normal"/>
        <w:jc w:val="center"/>
        <w:rPr>
          <w:sz w:val="44"/>
        </w:rPr>
      </w:pPr>
      <w:r>
        <w:rPr>
          <w:sz w:val="44"/>
        </w:rPr>
      </w:r>
    </w:p>
    <w:p>
      <w:pPr>
        <w:pStyle w:val="Normal"/>
        <w:rPr>
          <w:sz w:val="44"/>
        </w:rPr>
      </w:pPr>
      <w:r>
        <w:rPr>
          <w:sz w:val="44"/>
        </w:rPr>
        <w:tab/>
        <w:t>Vote on proposed changes to determine the changes which go up to the Executive Committee.</w:t>
      </w:r>
    </w:p>
    <w:p>
      <w:pPr>
        <w:pStyle w:val="Normal"/>
        <w:rPr>
          <w:sz w:val="44"/>
        </w:rPr>
      </w:pPr>
      <w:r>
        <w:rPr>
          <w:sz w:val="44"/>
        </w:rPr>
      </w:r>
    </w:p>
    <w:p>
      <w:pPr>
        <w:pStyle w:val="Normal"/>
        <w:jc w:val="center"/>
        <w:rPr>
          <w:sz w:val="44"/>
        </w:rPr>
      </w:pPr>
      <w:r>
        <w:rPr>
          <w:b/>
          <w:sz w:val="44"/>
        </w:rPr>
        <w:t>FUTURE ISSUES</w:t>
      </w:r>
    </w:p>
    <w:p>
      <w:pPr>
        <w:pStyle w:val="Normal"/>
        <w:jc w:val="center"/>
        <w:rPr>
          <w:sz w:val="44"/>
        </w:rPr>
      </w:pPr>
      <w:r>
        <w:rPr>
          <w:sz w:val="44"/>
        </w:rPr>
      </w:r>
    </w:p>
    <w:p>
      <w:pPr>
        <w:pStyle w:val="BodyText"/>
        <w:rPr/>
      </w:pPr>
      <w:r>
        <w:rPr/>
        <w:tab/>
        <w:t>As a result of Cinergy’s actions and notices being sent around, should the force majeure provision be revised to better define “due diligence?”  Does due diligence require payment of $5,000 per MWh for replacement energy?</w:t>
      </w:r>
      <w:r>
        <w:br w:type="page"/>
      </w:r>
    </w:p>
    <w:p>
      <w:pPr>
        <w:pStyle w:val="Normal"/>
        <w:jc w:val="center"/>
        <w:rPr>
          <w:sz w:val="44"/>
        </w:rPr>
      </w:pPr>
      <w:r>
        <w:rPr>
          <w:b/>
          <w:sz w:val="44"/>
        </w:rPr>
        <w:t>RTO ACTIVITY</w:t>
      </w:r>
    </w:p>
    <w:p>
      <w:pPr>
        <w:pStyle w:val="Normal"/>
        <w:jc w:val="center"/>
        <w:rPr>
          <w:sz w:val="44"/>
        </w:rPr>
      </w:pPr>
      <w:r>
        <w:rPr>
          <w:sz w:val="44"/>
        </w:rPr>
      </w:r>
    </w:p>
    <w:p>
      <w:pPr>
        <w:pStyle w:val="Normal"/>
        <w:rPr>
          <w:sz w:val="44"/>
        </w:rPr>
      </w:pPr>
      <w:r>
        <w:rPr>
          <w:sz w:val="44"/>
        </w:rPr>
        <w:t>Approved ISO’s</w:t>
      </w:r>
    </w:p>
    <w:p>
      <w:pPr>
        <w:pStyle w:val="Normal"/>
        <w:ind w:start="720" w:end="0"/>
        <w:rPr>
          <w:sz w:val="44"/>
        </w:rPr>
      </w:pPr>
      <w:r>
        <w:rPr>
          <w:sz w:val="44"/>
        </w:rPr>
        <w:t>PJM</w:t>
      </w:r>
    </w:p>
    <w:p>
      <w:pPr>
        <w:pStyle w:val="Normal"/>
        <w:ind w:start="720" w:end="0"/>
        <w:rPr>
          <w:sz w:val="44"/>
        </w:rPr>
      </w:pPr>
      <w:r>
        <w:rPr>
          <w:sz w:val="44"/>
        </w:rPr>
        <w:t>NEPOOL</w:t>
      </w:r>
    </w:p>
    <w:p>
      <w:pPr>
        <w:pStyle w:val="Normal"/>
        <w:ind w:start="720" w:end="0"/>
        <w:rPr>
          <w:sz w:val="44"/>
        </w:rPr>
      </w:pPr>
      <w:r>
        <w:rPr>
          <w:sz w:val="44"/>
        </w:rPr>
        <w:t>New York</w:t>
      </w:r>
    </w:p>
    <w:p>
      <w:pPr>
        <w:pStyle w:val="Normal"/>
        <w:ind w:start="720" w:end="0"/>
        <w:rPr>
          <w:sz w:val="44"/>
        </w:rPr>
      </w:pPr>
      <w:r>
        <w:rPr>
          <w:sz w:val="44"/>
        </w:rPr>
        <w:t>California</w:t>
      </w:r>
    </w:p>
    <w:p>
      <w:pPr>
        <w:pStyle w:val="Normal"/>
        <w:ind w:start="720" w:end="0"/>
        <w:rPr>
          <w:sz w:val="44"/>
        </w:rPr>
      </w:pPr>
      <w:r>
        <w:rPr>
          <w:sz w:val="44"/>
        </w:rPr>
        <w:t>Midwest</w:t>
      </w:r>
    </w:p>
    <w:p>
      <w:pPr>
        <w:pStyle w:val="Normal"/>
        <w:ind w:start="720" w:end="0"/>
        <w:rPr>
          <w:sz w:val="44"/>
        </w:rPr>
      </w:pPr>
      <w:r>
        <w:rPr>
          <w:sz w:val="44"/>
        </w:rPr>
      </w:r>
    </w:p>
    <w:p>
      <w:pPr>
        <w:pStyle w:val="Normal"/>
        <w:rPr>
          <w:sz w:val="44"/>
        </w:rPr>
      </w:pPr>
      <w:r>
        <w:rPr>
          <w:sz w:val="44"/>
        </w:rPr>
        <w:t>Pending ISO/Transco Filing</w:t>
      </w:r>
    </w:p>
    <w:p>
      <w:pPr>
        <w:pStyle w:val="Normal"/>
        <w:rPr>
          <w:sz w:val="44"/>
        </w:rPr>
      </w:pPr>
      <w:r>
        <w:rPr>
          <w:sz w:val="44"/>
        </w:rPr>
      </w:r>
    </w:p>
    <w:p>
      <w:pPr>
        <w:pStyle w:val="Normal"/>
        <w:rPr>
          <w:sz w:val="44"/>
        </w:rPr>
      </w:pPr>
      <w:r>
        <w:rPr>
          <w:sz w:val="44"/>
        </w:rPr>
        <w:tab/>
        <w:t>Alliance</w:t>
      </w:r>
    </w:p>
    <w:p>
      <w:pPr>
        <w:pStyle w:val="Normal"/>
        <w:rPr>
          <w:sz w:val="44"/>
        </w:rPr>
      </w:pPr>
      <w:r>
        <w:rPr>
          <w:sz w:val="44"/>
        </w:rPr>
      </w:r>
    </w:p>
    <w:p>
      <w:pPr>
        <w:pStyle w:val="Normal"/>
        <w:rPr>
          <w:sz w:val="44"/>
        </w:rPr>
      </w:pPr>
      <w:r>
        <w:rPr>
          <w:sz w:val="44"/>
        </w:rPr>
        <w:t>Other Recent Regional Filings</w:t>
      </w:r>
    </w:p>
    <w:p>
      <w:pPr>
        <w:pStyle w:val="Normal"/>
        <w:rPr>
          <w:sz w:val="44"/>
        </w:rPr>
      </w:pPr>
      <w:r>
        <w:rPr>
          <w:sz w:val="44"/>
        </w:rPr>
      </w:r>
    </w:p>
    <w:p>
      <w:pPr>
        <w:pStyle w:val="Normal"/>
        <w:rPr>
          <w:sz w:val="44"/>
        </w:rPr>
      </w:pPr>
      <w:r>
        <w:rPr>
          <w:sz w:val="44"/>
        </w:rPr>
        <w:tab/>
        <w:t>SPP</w:t>
      </w:r>
    </w:p>
    <w:p>
      <w:pPr>
        <w:pStyle w:val="Normal"/>
        <w:rPr>
          <w:sz w:val="44"/>
        </w:rPr>
      </w:pPr>
      <w:r>
        <w:rPr>
          <w:sz w:val="44"/>
        </w:rPr>
        <w:tab/>
        <w:t>MAPP</w:t>
      </w:r>
    </w:p>
    <w:p>
      <w:pPr>
        <w:pStyle w:val="Normal"/>
        <w:rPr>
          <w:sz w:val="44"/>
        </w:rPr>
      </w:pPr>
      <w:r>
        <w:rPr>
          <w:sz w:val="44"/>
        </w:rPr>
      </w:r>
      <w:r>
        <w:br w:type="page"/>
      </w:r>
    </w:p>
    <w:p>
      <w:pPr>
        <w:pStyle w:val="Normal"/>
        <w:rPr>
          <w:sz w:val="44"/>
        </w:rPr>
      </w:pPr>
      <w:r>
        <w:rPr>
          <w:sz w:val="44"/>
        </w:rPr>
        <w:t>Midwest ISO</w:t>
      </w:r>
    </w:p>
    <w:p>
      <w:pPr>
        <w:pStyle w:val="Normal"/>
        <w:rPr>
          <w:sz w:val="44"/>
        </w:rPr>
      </w:pPr>
      <w:r>
        <w:rPr>
          <w:sz w:val="44"/>
        </w:rPr>
      </w:r>
    </w:p>
    <w:p>
      <w:pPr>
        <w:pStyle w:val="Normal"/>
        <w:numPr>
          <w:ilvl w:val="0"/>
          <w:numId w:val="6"/>
        </w:numPr>
        <w:spacing w:lineRule="auto" w:line="480"/>
        <w:rPr>
          <w:sz w:val="44"/>
        </w:rPr>
      </w:pPr>
      <w:r>
        <w:rPr>
          <w:sz w:val="44"/>
        </w:rPr>
        <w:t>Independent Board in place</w:t>
      </w:r>
    </w:p>
    <w:p>
      <w:pPr>
        <w:pStyle w:val="Normal"/>
        <w:numPr>
          <w:ilvl w:val="0"/>
          <w:numId w:val="6"/>
        </w:numPr>
        <w:spacing w:lineRule="auto" w:line="480"/>
        <w:rPr>
          <w:sz w:val="44"/>
        </w:rPr>
      </w:pPr>
      <w:r>
        <w:rPr>
          <w:sz w:val="44"/>
        </w:rPr>
        <w:t>Infrastructure being developed</w:t>
      </w:r>
    </w:p>
    <w:p>
      <w:pPr>
        <w:pStyle w:val="Normal"/>
        <w:numPr>
          <w:ilvl w:val="0"/>
          <w:numId w:val="6"/>
        </w:numPr>
        <w:spacing w:lineRule="auto" w:line="480"/>
        <w:rPr>
          <w:sz w:val="44"/>
        </w:rPr>
      </w:pPr>
      <w:r>
        <w:rPr>
          <w:sz w:val="44"/>
        </w:rPr>
        <w:t>Projected start-up June 1, 2001</w:t>
      </w:r>
    </w:p>
    <w:p>
      <w:pPr>
        <w:pStyle w:val="Normal"/>
        <w:numPr>
          <w:ilvl w:val="0"/>
          <w:numId w:val="6"/>
        </w:numPr>
        <w:spacing w:lineRule="auto" w:line="480"/>
        <w:rPr>
          <w:sz w:val="44"/>
        </w:rPr>
      </w:pPr>
      <w:r>
        <w:rPr>
          <w:sz w:val="44"/>
        </w:rPr>
        <w:t>Over 80,000 MW’s in region</w:t>
      </w:r>
    </w:p>
    <w:p>
      <w:pPr>
        <w:pStyle w:val="Normal"/>
        <w:numPr>
          <w:ilvl w:val="0"/>
          <w:numId w:val="6"/>
        </w:numPr>
        <w:spacing w:lineRule="auto" w:line="480"/>
        <w:rPr>
          <w:sz w:val="44"/>
        </w:rPr>
      </w:pPr>
      <w:r>
        <w:rPr>
          <w:sz w:val="44"/>
        </w:rPr>
        <w:t>NSP recently joined</w:t>
      </w:r>
    </w:p>
    <w:p>
      <w:pPr>
        <w:pStyle w:val="Normal"/>
        <w:numPr>
          <w:ilvl w:val="0"/>
          <w:numId w:val="6"/>
        </w:numPr>
        <w:spacing w:lineRule="auto" w:line="480"/>
        <w:rPr>
          <w:sz w:val="44"/>
        </w:rPr>
      </w:pPr>
      <w:r>
        <w:rPr>
          <w:sz w:val="44"/>
        </w:rPr>
        <w:t>Other MAPP members are considering joining</w:t>
      </w:r>
    </w:p>
    <w:p>
      <w:pPr>
        <w:pStyle w:val="Normal"/>
        <w:numPr>
          <w:ilvl w:val="0"/>
          <w:numId w:val="6"/>
        </w:numPr>
        <w:spacing w:lineRule="auto" w:line="480"/>
        <w:rPr>
          <w:sz w:val="44"/>
        </w:rPr>
      </w:pPr>
      <w:r>
        <w:rPr>
          <w:sz w:val="44"/>
        </w:rPr>
        <w:t>Merger with SPP being discussed</w:t>
      </w:r>
    </w:p>
    <w:p>
      <w:pPr>
        <w:pStyle w:val="Normal"/>
        <w:numPr>
          <w:ilvl w:val="0"/>
          <w:numId w:val="6"/>
        </w:numPr>
        <w:spacing w:lineRule="auto" w:line="480"/>
        <w:rPr>
          <w:sz w:val="44"/>
        </w:rPr>
      </w:pPr>
      <w:r>
        <w:rPr>
          <w:sz w:val="44"/>
        </w:rPr>
        <w:t>No pancaked rates/license plate zonal rates</w:t>
      </w:r>
    </w:p>
    <w:p>
      <w:pPr>
        <w:pStyle w:val="Normal"/>
        <w:numPr>
          <w:ilvl w:val="0"/>
          <w:numId w:val="6"/>
        </w:numPr>
        <w:spacing w:lineRule="auto" w:line="480"/>
        <w:rPr>
          <w:sz w:val="44"/>
        </w:rPr>
      </w:pPr>
      <w:r>
        <w:rPr>
          <w:sz w:val="44"/>
        </w:rPr>
        <w:t>Market based congestion pricing</w:t>
      </w:r>
    </w:p>
    <w:p>
      <w:pPr>
        <w:pStyle w:val="Normal"/>
        <w:numPr>
          <w:ilvl w:val="0"/>
          <w:numId w:val="6"/>
        </w:numPr>
        <w:spacing w:lineRule="auto" w:line="480"/>
        <w:rPr>
          <w:sz w:val="44"/>
        </w:rPr>
      </w:pPr>
      <w:r>
        <w:rPr>
          <w:sz w:val="44"/>
        </w:rPr>
        <w:t>ITC’s being encouraged to join</w:t>
      </w:r>
    </w:p>
    <w:p>
      <w:pPr>
        <w:pStyle w:val="Normal"/>
        <w:ind w:firstLine="720" w:end="0"/>
        <w:rPr>
          <w:sz w:val="44"/>
        </w:rPr>
      </w:pPr>
      <w:r>
        <w:rPr>
          <w:sz w:val="44"/>
        </w:rPr>
      </w:r>
      <w:r>
        <w:br w:type="page"/>
      </w:r>
    </w:p>
    <w:p>
      <w:pPr>
        <w:pStyle w:val="Normal"/>
        <w:rPr>
          <w:sz w:val="44"/>
        </w:rPr>
      </w:pPr>
      <w:r>
        <w:rPr>
          <w:sz w:val="44"/>
        </w:rPr>
        <w:t>Alliance Filing</w:t>
      </w:r>
    </w:p>
    <w:p>
      <w:pPr>
        <w:pStyle w:val="Normal"/>
        <w:rPr>
          <w:sz w:val="44"/>
        </w:rPr>
      </w:pPr>
      <w:r>
        <w:rPr>
          <w:sz w:val="44"/>
        </w:rPr>
      </w:r>
    </w:p>
    <w:p>
      <w:pPr>
        <w:pStyle w:val="Normal"/>
        <w:rPr>
          <w:sz w:val="44"/>
        </w:rPr>
      </w:pPr>
      <w:r>
        <w:rPr>
          <w:sz w:val="44"/>
        </w:rPr>
        <w:tab/>
        <w:t>AEP, First Energy, VEPCO, Consumers, Detroit Edison</w:t>
      </w:r>
    </w:p>
    <w:p>
      <w:pPr>
        <w:pStyle w:val="Normal"/>
        <w:rPr>
          <w:sz w:val="44"/>
        </w:rPr>
      </w:pPr>
      <w:r>
        <w:rPr>
          <w:sz w:val="44"/>
        </w:rPr>
      </w:r>
    </w:p>
    <w:p>
      <w:pPr>
        <w:pStyle w:val="Normal"/>
        <w:rPr>
          <w:sz w:val="44"/>
        </w:rPr>
      </w:pPr>
      <w:r>
        <w:rPr>
          <w:sz w:val="44"/>
        </w:rPr>
        <w:tab/>
        <w:t>-</w:t>
        <w:tab/>
        <w:t>ISO transitioning to a Transco</w:t>
      </w:r>
    </w:p>
    <w:p>
      <w:pPr>
        <w:pStyle w:val="Normal"/>
        <w:rPr>
          <w:sz w:val="44"/>
        </w:rPr>
      </w:pPr>
      <w:r>
        <w:rPr>
          <w:sz w:val="44"/>
        </w:rPr>
      </w:r>
    </w:p>
    <w:p>
      <w:pPr>
        <w:pStyle w:val="Normal"/>
        <w:ind w:hanging="720" w:start="1440" w:end="0"/>
        <w:rPr>
          <w:sz w:val="44"/>
        </w:rPr>
      </w:pPr>
      <w:r>
        <w:rPr>
          <w:sz w:val="44"/>
        </w:rPr>
        <w:t>-</w:t>
        <w:tab/>
        <w:t>Filing heavily protested, so uncertain whether it will go forward</w:t>
      </w:r>
    </w:p>
    <w:p>
      <w:pPr>
        <w:pStyle w:val="Normal"/>
        <w:ind w:hanging="720" w:start="1440" w:end="0"/>
        <w:rPr>
          <w:sz w:val="44"/>
        </w:rPr>
      </w:pPr>
      <w:r>
        <w:rPr>
          <w:sz w:val="44"/>
        </w:rPr>
      </w:r>
    </w:p>
    <w:p>
      <w:pPr>
        <w:pStyle w:val="Normal"/>
        <w:ind w:hanging="720" w:start="1440" w:end="0"/>
        <w:rPr>
          <w:sz w:val="44"/>
        </w:rPr>
      </w:pPr>
      <w:r>
        <w:rPr>
          <w:sz w:val="44"/>
        </w:rPr>
        <w:t>-</w:t>
        <w:tab/>
        <w:t>Some rate pancaking maintained</w:t>
      </w:r>
    </w:p>
    <w:p>
      <w:pPr>
        <w:pStyle w:val="Normal"/>
        <w:ind w:hanging="720" w:start="1440" w:end="0"/>
        <w:rPr>
          <w:sz w:val="44"/>
        </w:rPr>
      </w:pPr>
      <w:r>
        <w:rPr>
          <w:sz w:val="44"/>
        </w:rPr>
      </w:r>
    </w:p>
    <w:p>
      <w:pPr>
        <w:pStyle w:val="Normal"/>
        <w:ind w:hanging="720" w:start="1440" w:end="0"/>
        <w:rPr>
          <w:sz w:val="44"/>
        </w:rPr>
      </w:pPr>
      <w:r>
        <w:rPr>
          <w:sz w:val="44"/>
        </w:rPr>
        <w:t>-</w:t>
        <w:tab/>
        <w:t>Many other elements similar to MISO</w:t>
      </w:r>
    </w:p>
    <w:p>
      <w:pPr>
        <w:pStyle w:val="Normal"/>
        <w:ind w:hanging="720" w:start="1440" w:end="0"/>
        <w:rPr>
          <w:sz w:val="44"/>
        </w:rPr>
      </w:pPr>
      <w:r>
        <w:rPr>
          <w:sz w:val="44"/>
        </w:rPr>
      </w:r>
      <w:r>
        <w:br w:type="page"/>
      </w:r>
    </w:p>
    <w:p>
      <w:pPr>
        <w:pStyle w:val="Normal"/>
        <w:jc w:val="center"/>
        <w:rPr>
          <w:sz w:val="44"/>
        </w:rPr>
      </w:pPr>
      <w:r>
        <w:rPr>
          <w:b/>
          <w:sz w:val="44"/>
        </w:rPr>
        <w:t>SPP AND MAPP</w:t>
      </w:r>
    </w:p>
    <w:p>
      <w:pPr>
        <w:pStyle w:val="Normal"/>
        <w:jc w:val="center"/>
        <w:rPr>
          <w:sz w:val="44"/>
        </w:rPr>
      </w:pPr>
      <w:r>
        <w:rPr>
          <w:sz w:val="44"/>
        </w:rPr>
      </w:r>
    </w:p>
    <w:p>
      <w:pPr>
        <w:pStyle w:val="Normal"/>
        <w:rPr>
          <w:sz w:val="44"/>
        </w:rPr>
      </w:pPr>
      <w:r>
        <w:rPr>
          <w:sz w:val="44"/>
        </w:rPr>
        <w:tab/>
        <w:t>SPP filing to eliminate MW-mile effective November 1, 1999.</w:t>
      </w:r>
    </w:p>
    <w:p>
      <w:pPr>
        <w:pStyle w:val="Normal"/>
        <w:rPr>
          <w:sz w:val="44"/>
        </w:rPr>
      </w:pPr>
      <w:r>
        <w:rPr>
          <w:sz w:val="44"/>
        </w:rPr>
      </w:r>
    </w:p>
    <w:p>
      <w:pPr>
        <w:pStyle w:val="Normal"/>
        <w:rPr>
          <w:sz w:val="44"/>
        </w:rPr>
      </w:pPr>
      <w:r>
        <w:rPr>
          <w:sz w:val="44"/>
        </w:rPr>
        <w:tab/>
        <w:t>SPP filing to include network service effective February 1, 2000.  Changed out and through rates to lowest of the exit rates.</w:t>
      </w:r>
    </w:p>
    <w:p>
      <w:pPr>
        <w:pStyle w:val="Normal"/>
        <w:rPr>
          <w:sz w:val="44"/>
        </w:rPr>
      </w:pPr>
      <w:r>
        <w:rPr>
          <w:sz w:val="44"/>
        </w:rPr>
      </w:r>
    </w:p>
    <w:p>
      <w:pPr>
        <w:pStyle w:val="Normal"/>
        <w:rPr>
          <w:sz w:val="44"/>
        </w:rPr>
      </w:pPr>
      <w:r>
        <w:rPr>
          <w:sz w:val="44"/>
        </w:rPr>
        <w:tab/>
        <w:t>MAPP revised tariff rate structure to change average rate for transmission within zone and MW-mile impacts for transmission outside of zone.</w:t>
      </w:r>
    </w:p>
    <w:p>
      <w:pPr>
        <w:pStyle w:val="Normal"/>
        <w:rPr>
          <w:sz w:val="44"/>
        </w:rPr>
      </w:pPr>
      <w:r>
        <w:rPr>
          <w:sz w:val="44"/>
        </w:rPr>
      </w:r>
      <w:r>
        <w:br w:type="page"/>
      </w:r>
    </w:p>
    <w:p>
      <w:pPr>
        <w:pStyle w:val="Normal"/>
        <w:jc w:val="center"/>
        <w:rPr>
          <w:sz w:val="44"/>
        </w:rPr>
      </w:pPr>
      <w:r>
        <w:rPr>
          <w:b/>
          <w:sz w:val="44"/>
        </w:rPr>
        <w:t>RTO NOPR</w:t>
      </w:r>
    </w:p>
    <w:p>
      <w:pPr>
        <w:pStyle w:val="Normal"/>
        <w:jc w:val="center"/>
        <w:rPr>
          <w:sz w:val="44"/>
        </w:rPr>
      </w:pPr>
      <w:r>
        <w:rPr>
          <w:sz w:val="44"/>
        </w:rPr>
      </w:r>
    </w:p>
    <w:p>
      <w:pPr>
        <w:pStyle w:val="Normal"/>
        <w:rPr>
          <w:sz w:val="44"/>
        </w:rPr>
      </w:pPr>
      <w:r>
        <w:rPr>
          <w:sz w:val="44"/>
        </w:rPr>
        <w:tab/>
        <w:t>FERC issued on May 13, 1999.</w:t>
      </w:r>
    </w:p>
    <w:p>
      <w:pPr>
        <w:pStyle w:val="Normal"/>
        <w:rPr>
          <w:sz w:val="44"/>
        </w:rPr>
      </w:pPr>
      <w:r>
        <w:rPr>
          <w:sz w:val="44"/>
        </w:rPr>
      </w:r>
    </w:p>
    <w:p>
      <w:pPr>
        <w:pStyle w:val="Normal"/>
        <w:rPr>
          <w:sz w:val="44"/>
        </w:rPr>
      </w:pPr>
      <w:r>
        <w:rPr>
          <w:sz w:val="44"/>
        </w:rPr>
        <w:tab/>
        <w:t>Initial comments filed on August 23, 1999, Reply Comments are to be filed soon.</w:t>
      </w:r>
    </w:p>
    <w:p>
      <w:pPr>
        <w:pStyle w:val="Normal"/>
        <w:rPr>
          <w:sz w:val="44"/>
        </w:rPr>
      </w:pPr>
      <w:r>
        <w:rPr>
          <w:sz w:val="44"/>
        </w:rPr>
      </w:r>
    </w:p>
    <w:p>
      <w:pPr>
        <w:pStyle w:val="Normal"/>
        <w:rPr>
          <w:sz w:val="44"/>
        </w:rPr>
      </w:pPr>
      <w:r>
        <w:rPr>
          <w:sz w:val="44"/>
        </w:rPr>
        <w:tab/>
        <w:t>NOPR does not require any transmission owners to join RTO’s.  Simply imposes a requirement for reports to be submitted.  FERC is considering whether transmission owners should be penalized if they do not join an RTO.</w:t>
      </w:r>
    </w:p>
    <w:p>
      <w:pPr>
        <w:pStyle w:val="Normal"/>
        <w:rPr>
          <w:sz w:val="44"/>
        </w:rPr>
      </w:pPr>
      <w:r>
        <w:rPr>
          <w:sz w:val="44"/>
        </w:rPr>
      </w:r>
    </w:p>
    <w:p>
      <w:pPr>
        <w:pStyle w:val="Normal"/>
        <w:rPr>
          <w:sz w:val="44"/>
        </w:rPr>
      </w:pPr>
      <w:r>
        <w:rPr>
          <w:sz w:val="44"/>
        </w:rPr>
        <w:tab/>
        <w:t>NOPR also does not develop RTO boundaries or prevent a large number of RTO’s from being developed instead of a smaller number.</w:t>
      </w:r>
    </w:p>
    <w:p>
      <w:pPr>
        <w:pStyle w:val="Normal"/>
        <w:rPr>
          <w:sz w:val="44"/>
        </w:rPr>
      </w:pPr>
      <w:r>
        <w:rPr>
          <w:sz w:val="44"/>
        </w:rPr>
      </w:r>
      <w:r>
        <w:br w:type="page"/>
      </w:r>
    </w:p>
    <w:p>
      <w:pPr>
        <w:pStyle w:val="Normal"/>
        <w:rPr>
          <w:sz w:val="44"/>
        </w:rPr>
      </w:pPr>
      <w:r>
        <w:rPr>
          <w:sz w:val="44"/>
        </w:rPr>
        <w:tab/>
        <w:t>NOPR develops characteristics of RTO’s but does not detail the benefits that an RTO will receive that a regional organization that is not an RTO will receive.</w:t>
      </w:r>
    </w:p>
    <w:p>
      <w:pPr>
        <w:pStyle w:val="Normal"/>
        <w:rPr>
          <w:sz w:val="44"/>
        </w:rPr>
      </w:pPr>
      <w:r>
        <w:rPr>
          <w:sz w:val="44"/>
        </w:rPr>
      </w:r>
    </w:p>
    <w:p>
      <w:pPr>
        <w:pStyle w:val="Normal"/>
        <w:rPr>
          <w:sz w:val="44"/>
        </w:rPr>
      </w:pPr>
      <w:r>
        <w:rPr>
          <w:sz w:val="44"/>
        </w:rPr>
        <w:tab/>
        <w:t>Existing ISO’s given time to assume all of the functions of RTO’s.</w:t>
      </w:r>
    </w:p>
    <w:p>
      <w:pPr>
        <w:pStyle w:val="Normal"/>
        <w:rPr>
          <w:sz w:val="44"/>
        </w:rPr>
      </w:pPr>
      <w:r>
        <w:rPr>
          <w:sz w:val="44"/>
        </w:rPr>
      </w:r>
      <w:r>
        <w:br w:type="page"/>
      </w:r>
    </w:p>
    <w:p>
      <w:pPr>
        <w:pStyle w:val="Normal"/>
        <w:jc w:val="center"/>
        <w:rPr>
          <w:sz w:val="44"/>
        </w:rPr>
      </w:pPr>
      <w:r>
        <w:rPr>
          <w:b/>
          <w:sz w:val="44"/>
        </w:rPr>
        <w:t>CHARACTERISTICS OF AN RTO</w:t>
      </w:r>
    </w:p>
    <w:p>
      <w:pPr>
        <w:pStyle w:val="Normal"/>
        <w:jc w:val="center"/>
        <w:rPr>
          <w:sz w:val="44"/>
        </w:rPr>
      </w:pPr>
      <w:r>
        <w:rPr>
          <w:sz w:val="44"/>
        </w:rPr>
      </w:r>
    </w:p>
    <w:p>
      <w:pPr>
        <w:pStyle w:val="Normal"/>
        <w:ind w:hanging="3600" w:start="3600" w:end="0"/>
        <w:rPr>
          <w:sz w:val="44"/>
        </w:rPr>
      </w:pPr>
      <w:r>
        <w:rPr>
          <w:sz w:val="44"/>
        </w:rPr>
        <w:t>Independence -</w:t>
        <w:tab/>
        <w:t>Nonstakeholder Board is independent.  FERC will evaluate other Boards to determine if they are independent.</w:t>
      </w:r>
    </w:p>
    <w:p>
      <w:pPr>
        <w:pStyle w:val="Normal"/>
        <w:ind w:hanging="3600" w:start="3600" w:end="0"/>
        <w:rPr>
          <w:sz w:val="44"/>
        </w:rPr>
      </w:pPr>
      <w:r>
        <w:rPr>
          <w:sz w:val="44"/>
        </w:rPr>
      </w:r>
    </w:p>
    <w:p>
      <w:pPr>
        <w:pStyle w:val="Normal"/>
        <w:ind w:hanging="3600" w:start="3600" w:end="0"/>
        <w:rPr>
          <w:sz w:val="44"/>
        </w:rPr>
      </w:pPr>
      <w:r>
        <w:rPr>
          <w:sz w:val="44"/>
        </w:rPr>
        <w:t>Structure -</w:t>
        <w:tab/>
        <w:t>RTO can own or not own transmission facilities.</w:t>
      </w:r>
    </w:p>
    <w:p>
      <w:pPr>
        <w:pStyle w:val="Normal"/>
        <w:ind w:hanging="3600" w:start="3600" w:end="0"/>
        <w:rPr>
          <w:sz w:val="44"/>
        </w:rPr>
      </w:pPr>
      <w:r>
        <w:rPr>
          <w:sz w:val="44"/>
        </w:rPr>
      </w:r>
    </w:p>
    <w:p>
      <w:pPr>
        <w:pStyle w:val="Normal"/>
        <w:ind w:hanging="3600" w:start="3600" w:end="0"/>
        <w:rPr>
          <w:sz w:val="44"/>
        </w:rPr>
      </w:pPr>
      <w:r>
        <w:rPr>
          <w:sz w:val="44"/>
        </w:rPr>
        <w:t>Pricing -</w:t>
        <w:tab/>
        <w:t>No rate pancaking.  Considering whether to allow zones for indefinite period of time.</w:t>
      </w:r>
    </w:p>
    <w:p>
      <w:pPr>
        <w:pStyle w:val="Normal"/>
        <w:ind w:hanging="3600" w:start="3600" w:end="0"/>
        <w:rPr>
          <w:sz w:val="44"/>
        </w:rPr>
      </w:pPr>
      <w:r>
        <w:rPr>
          <w:sz w:val="44"/>
        </w:rPr>
      </w:r>
    </w:p>
    <w:p>
      <w:pPr>
        <w:pStyle w:val="Normal"/>
        <w:ind w:hanging="3600" w:start="3600" w:end="0"/>
        <w:rPr>
          <w:sz w:val="44"/>
        </w:rPr>
      </w:pPr>
      <w:r>
        <w:rPr>
          <w:sz w:val="44"/>
        </w:rPr>
        <w:t>Tariff</w:t>
      </w:r>
    </w:p>
    <w:p>
      <w:pPr>
        <w:pStyle w:val="Normal"/>
        <w:ind w:hanging="3600" w:start="3600" w:end="0"/>
        <w:rPr>
          <w:sz w:val="44"/>
        </w:rPr>
      </w:pPr>
      <w:r>
        <w:rPr>
          <w:sz w:val="44"/>
        </w:rPr>
        <w:t>Administration -</w:t>
        <w:tab/>
        <w:t>RTO administers tariff and is the only provider of transmission service.</w:t>
      </w:r>
    </w:p>
    <w:p>
      <w:pPr>
        <w:pStyle w:val="Normal"/>
        <w:ind w:hanging="3600" w:start="3600" w:end="0"/>
        <w:rPr>
          <w:sz w:val="44"/>
        </w:rPr>
      </w:pPr>
      <w:r>
        <w:rPr>
          <w:sz w:val="44"/>
        </w:rPr>
      </w:r>
      <w:r>
        <w:br w:type="page"/>
      </w:r>
    </w:p>
    <w:p>
      <w:pPr>
        <w:pStyle w:val="Normal"/>
        <w:ind w:hanging="3600" w:start="3600" w:end="0"/>
        <w:rPr>
          <w:sz w:val="44"/>
        </w:rPr>
      </w:pPr>
      <w:r>
        <w:rPr>
          <w:sz w:val="44"/>
        </w:rPr>
        <w:t>Congestion</w:t>
      </w:r>
    </w:p>
    <w:p>
      <w:pPr>
        <w:pStyle w:val="Normal"/>
        <w:ind w:hanging="3600" w:start="3600" w:end="0"/>
        <w:rPr>
          <w:sz w:val="44"/>
        </w:rPr>
      </w:pPr>
      <w:r>
        <w:rPr>
          <w:sz w:val="44"/>
        </w:rPr>
        <w:t>Management -</w:t>
        <w:tab/>
        <w:t>RTO is in charge.  LMP and FTR’s are appropriate.  Accepted for now the MISO market based approach.</w:t>
      </w:r>
    </w:p>
    <w:p>
      <w:pPr>
        <w:pStyle w:val="Normal"/>
        <w:ind w:hanging="3600" w:start="3600" w:end="0"/>
        <w:rPr>
          <w:sz w:val="44"/>
        </w:rPr>
      </w:pPr>
      <w:r>
        <w:rPr>
          <w:sz w:val="44"/>
        </w:rPr>
      </w:r>
    </w:p>
    <w:p>
      <w:pPr>
        <w:pStyle w:val="Normal"/>
        <w:ind w:hanging="3600" w:start="3600" w:end="0"/>
        <w:rPr>
          <w:sz w:val="44"/>
        </w:rPr>
      </w:pPr>
      <w:r>
        <w:rPr>
          <w:sz w:val="44"/>
        </w:rPr>
        <w:t>Ancillary Services -</w:t>
        <w:tab/>
        <w:t>RTO must be the supplier of last resort.  Required a real-time balancing market.</w:t>
      </w:r>
    </w:p>
    <w:p>
      <w:pPr>
        <w:pStyle w:val="Normal"/>
        <w:ind w:hanging="3600" w:start="3600" w:end="0"/>
        <w:rPr>
          <w:sz w:val="44"/>
        </w:rPr>
      </w:pPr>
      <w:r>
        <w:rPr>
          <w:sz w:val="44"/>
        </w:rPr>
      </w:r>
    </w:p>
    <w:p>
      <w:pPr>
        <w:pStyle w:val="Normal"/>
        <w:ind w:hanging="3600" w:start="3600" w:end="0"/>
        <w:rPr>
          <w:sz w:val="44"/>
        </w:rPr>
      </w:pPr>
      <w:r>
        <w:rPr>
          <w:sz w:val="44"/>
        </w:rPr>
        <w:t>OASIS/TTC and</w:t>
      </w:r>
    </w:p>
    <w:p>
      <w:pPr>
        <w:pStyle w:val="Normal"/>
        <w:ind w:hanging="3600" w:start="3600" w:end="0"/>
        <w:rPr>
          <w:sz w:val="44"/>
        </w:rPr>
      </w:pPr>
      <w:r>
        <w:rPr>
          <w:sz w:val="44"/>
        </w:rPr>
        <w:t>ATC -</w:t>
        <w:tab/>
        <w:t>RTO must administer a single OASIS site and independently calculate TTC and ATC.</w:t>
      </w:r>
    </w:p>
    <w:p>
      <w:pPr>
        <w:pStyle w:val="Normal"/>
        <w:ind w:hanging="3600" w:start="3600" w:end="0"/>
        <w:rPr>
          <w:sz w:val="44"/>
        </w:rPr>
      </w:pPr>
      <w:r>
        <w:rPr>
          <w:sz w:val="44"/>
        </w:rPr>
      </w:r>
    </w:p>
    <w:p>
      <w:pPr>
        <w:pStyle w:val="Normal"/>
        <w:ind w:hanging="3600" w:start="3600" w:end="0"/>
        <w:rPr>
          <w:sz w:val="44"/>
        </w:rPr>
      </w:pPr>
      <w:r>
        <w:rPr>
          <w:sz w:val="44"/>
        </w:rPr>
        <w:t>Market</w:t>
      </w:r>
    </w:p>
    <w:p>
      <w:pPr>
        <w:pStyle w:val="Normal"/>
        <w:ind w:hanging="3600" w:start="3600" w:end="0"/>
        <w:rPr>
          <w:sz w:val="44"/>
        </w:rPr>
      </w:pPr>
      <w:r>
        <w:rPr>
          <w:sz w:val="44"/>
        </w:rPr>
        <w:t>Monitoring -</w:t>
        <w:tab/>
        <w:t>RTO’s that operate energy markets will monitor the markets for design flaws, market power issues, etc.</w:t>
      </w:r>
      <w:r>
        <w:br w:type="page"/>
      </w:r>
    </w:p>
    <w:p>
      <w:pPr>
        <w:pStyle w:val="Normal"/>
        <w:ind w:hanging="3600" w:start="3600" w:end="0"/>
        <w:rPr>
          <w:sz w:val="44"/>
        </w:rPr>
      </w:pPr>
      <w:r>
        <w:rPr>
          <w:sz w:val="44"/>
        </w:rPr>
        <w:t>Planning -</w:t>
        <w:tab/>
        <w:t>RTO is responsible for transmission planning.</w:t>
      </w:r>
    </w:p>
    <w:p>
      <w:pPr>
        <w:pStyle w:val="Normal"/>
        <w:ind w:hanging="3600" w:start="3600" w:end="0"/>
        <w:rPr>
          <w:sz w:val="44"/>
        </w:rPr>
      </w:pPr>
      <w:r>
        <w:rPr>
          <w:sz w:val="44"/>
        </w:rPr>
      </w:r>
    </w:p>
    <w:p>
      <w:pPr>
        <w:pStyle w:val="Normal"/>
        <w:ind w:hanging="3600" w:start="3600" w:end="0"/>
        <w:rPr>
          <w:sz w:val="44"/>
        </w:rPr>
      </w:pPr>
      <w:r>
        <w:rPr>
          <w:sz w:val="44"/>
        </w:rPr>
        <w:t>Operational</w:t>
      </w:r>
    </w:p>
    <w:p>
      <w:pPr>
        <w:pStyle w:val="Normal"/>
        <w:ind w:hanging="3600" w:start="3600" w:end="0"/>
        <w:rPr>
          <w:sz w:val="44"/>
        </w:rPr>
      </w:pPr>
      <w:r>
        <w:rPr>
          <w:sz w:val="44"/>
        </w:rPr>
        <w:t>Control -</w:t>
        <w:tab/>
        <w:t>RTO has functional control over transmission including controlling facility ratings and transmission maintenance.</w:t>
      </w:r>
    </w:p>
    <w:p>
      <w:pPr>
        <w:pStyle w:val="Normal"/>
        <w:ind w:hanging="3600" w:start="3600" w:end="0"/>
        <w:rPr>
          <w:sz w:val="44"/>
        </w:rPr>
      </w:pPr>
      <w:r>
        <w:rPr>
          <w:sz w:val="44"/>
        </w:rPr>
      </w:r>
      <w:r>
        <w:br w:type="page"/>
      </w:r>
    </w:p>
    <w:p>
      <w:pPr>
        <w:pStyle w:val="Normal"/>
        <w:rPr>
          <w:sz w:val="44"/>
        </w:rPr>
      </w:pPr>
      <w:r>
        <w:rPr>
          <w:sz w:val="44"/>
        </w:rPr>
        <w:tab/>
        <w:t>Do not know when FERC will issue a final rule or what it will say.  The FERC Commissioners are split on RTO issues.</w:t>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sz w:val="44"/>
        </w:rPr>
      </w:pPr>
      <w:r>
        <w:rPr>
          <w:sz w:val="44"/>
        </w:rPr>
      </w:r>
    </w:p>
    <w:p>
      <w:pPr>
        <w:pStyle w:val="Normal"/>
        <w:rPr/>
      </w:pPr>
      <w:r>
        <w:rPr/>
        <w:t>wspp\1003-421-147</w:t>
      </w:r>
    </w:p>
    <w:p>
      <w:pPr>
        <w:pStyle w:val="Normal"/>
        <w:ind w:firstLine="720" w:start="4320" w:end="0"/>
        <w:rPr>
          <w:b/>
          <w:sz w:val="40"/>
        </w:rPr>
      </w:pPr>
      <w:r>
        <w:rPr>
          <w:b/>
          <w:sz w:val="40"/>
        </w:rPr>
      </w:r>
    </w:p>
    <w:sectPr>
      <w:headerReference w:type="default" r:id="rId6"/>
      <w:headerReference w:type="first" r:id="rId7"/>
      <w:type w:val="nextPage"/>
      <w:pgSz w:w="12240" w:h="15840"/>
      <w:pgMar w:left="2160" w:right="1440" w:gutter="0" w:header="720" w:top="1440" w:footer="0" w:bottom="12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Style w:val="PageNumber"/>
        <w:b/>
      </w:rPr>
    </w:pPr>
    <w:r>
      <w:rPr>
        <w:b/>
      </w:rPr>
      <w:t xml:space="preserve">SLIDE </w:t>
    </w:r>
    <w:r>
      <w:rPr>
        <w:rStyle w:val="PageNumber"/>
        <w:b/>
      </w:rPr>
      <w:fldChar w:fldCharType="begin"/>
    </w:r>
    <w:r>
      <w:rPr>
        <w:rStyle w:val="PageNumber"/>
        <w:b/>
      </w:rPr>
      <w:instrText xml:space="preserve"> PAGE </w:instrText>
    </w:r>
    <w:r>
      <w:rPr>
        <w:rStyle w:val="PageNumber"/>
        <w:b/>
      </w:rPr>
      <w:fldChar w:fldCharType="separate"/>
    </w:r>
    <w:r>
      <w:rPr>
        <w:rStyle w:val="PageNumber"/>
        <w:b/>
      </w:rPr>
      <w:t>0</w:t>
    </w:r>
    <w:r>
      <w:rPr>
        <w:rStyle w:val="PageNumber"/>
        <w:b/>
      </w:rPr>
      <w:fldChar w:fldCharType="end"/>
    </w:r>
  </w:p>
  <w:p>
    <w:pPr>
      <w:pStyle w:val="Header"/>
      <w:jc w:val="end"/>
      <w:rPr>
        <w:rStyle w:val="PageNumber"/>
        <w:b/>
      </w:rPr>
    </w:pPr>
    <w:r>
      <w:rPr/>
    </w:r>
  </w:p>
  <w:p>
    <w:pPr>
      <w:pStyle w:val="Header"/>
      <w:jc w:val="end"/>
      <w:rPr>
        <w:rStyle w:val="PageNumber"/>
        <w:b/>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 xml:space="preserve">SLIDE </w:t>
    </w:r>
    <w:r>
      <w:rPr>
        <w:rStyle w:val="PageNumber"/>
        <w:b/>
      </w:rPr>
      <w:fldChar w:fldCharType="begin"/>
    </w:r>
    <w:r>
      <w:rPr>
        <w:rStyle w:val="PageNumber"/>
        <w:b/>
      </w:rPr>
      <w:instrText xml:space="preserve"> PAGE </w:instrText>
    </w:r>
    <w:r>
      <w:rPr>
        <w:rStyle w:val="PageNumber"/>
        <w:b/>
      </w:rPr>
      <w:fldChar w:fldCharType="separate"/>
    </w:r>
    <w:r>
      <w:rPr>
        <w:rStyle w:val="PageNumber"/>
        <w:b/>
      </w:rPr>
      <w:t>27</w:t>
    </w:r>
    <w:r>
      <w:rPr>
        <w:rStyle w:val="PageNumber"/>
        <w:b/>
      </w:rPr>
      <w:fldChar w:fldCharType="end"/>
    </w:r>
  </w:p>
  <w:p>
    <w:pPr>
      <w:pStyle w:val="Header"/>
      <w:jc w:val="end"/>
      <w:rPr>
        <w:rStyle w:val="PageNumber"/>
        <w:b/>
      </w:rPr>
    </w:pPr>
    <w:r>
      <w:rPr/>
    </w:r>
  </w:p>
  <w:p>
    <w:pPr>
      <w:pStyle w:val="Header"/>
      <w:jc w:val="end"/>
      <w:rPr>
        <w:rStyle w:val="PageNumber"/>
        <w:b/>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720"/>
      </w:pPr>
      <w:rPr>
        <w:rFonts w:ascii="Symbol" w:hAnsi="Symbol" w:cs="Symbol" w:hint="default"/>
      </w:rPr>
    </w:lvl>
  </w:abstractNum>
  <w:abstractNum w:abstractNumId="3">
    <w:lvl w:ilvl="0">
      <w:start w:val="1"/>
      <w:numFmt w:val="bullet"/>
      <w:lvlText w:val=""/>
      <w:lvlJc w:val="start"/>
      <w:pPr>
        <w:tabs>
          <w:tab w:val="num" w:pos="720"/>
        </w:tabs>
        <w:ind w:start="720" w:hanging="720"/>
      </w:pPr>
      <w:rPr>
        <w:rFonts w:ascii="Symbol" w:hAnsi="Symbol" w:cs="Symbol" w:hint="default"/>
      </w:rPr>
    </w:lvl>
  </w:abstractNum>
  <w:abstractNum w:abstractNumId="4">
    <w:lvl w:ilvl="0">
      <w:start w:val="1"/>
      <w:numFmt w:val="bullet"/>
      <w:lvlText w:val=""/>
      <w:lvlJc w:val="start"/>
      <w:pPr>
        <w:tabs>
          <w:tab w:val="num" w:pos="720"/>
        </w:tabs>
        <w:ind w:start="720" w:hanging="720"/>
      </w:pPr>
      <w:rPr>
        <w:rFonts w:ascii="Symbol" w:hAnsi="Symbol" w:cs="Symbol" w:hint="default"/>
      </w:rPr>
    </w:lvl>
  </w:abstractNum>
  <w:abstractNum w:abstractNumId="5">
    <w:lvl w:ilvl="0">
      <w:start w:val="1"/>
      <w:numFmt w:val="bullet"/>
      <w:lvlText w:val=""/>
      <w:lvlJc w:val="start"/>
      <w:pPr>
        <w:tabs>
          <w:tab w:val="num" w:pos="720"/>
        </w:tabs>
        <w:ind w:start="720" w:hanging="720"/>
      </w:pPr>
      <w:rPr>
        <w:rFonts w:ascii="Symbol" w:hAnsi="Symbol" w:cs="Symbol" w:hint="default"/>
      </w:rPr>
    </w:lvl>
  </w:abstractNum>
  <w:abstractNum w:abstractNumId="6">
    <w:lvl w:ilvl="0">
      <w:start w:val="1"/>
      <w:numFmt w:val="bullet"/>
      <w:lvlText w:val=""/>
      <w:lvlJc w:val="start"/>
      <w:pPr>
        <w:tabs>
          <w:tab w:val="num" w:pos="720"/>
        </w:tabs>
        <w:ind w:start="720" w:hanging="720"/>
      </w:pPr>
      <w:rPr>
        <w:rFonts w:ascii="Symbol" w:hAnsi="Symbol" w:cs="Symbol" w:hint="default"/>
      </w:rPr>
    </w:lvl>
  </w:abstractNum>
  <w:abstractNum w:abstractNumId="7">
    <w:lvl w:ilvl="0">
      <w:start w:val="1"/>
      <w:numFmt w:val="bullet"/>
      <w:lvlText w:val=""/>
      <w:lvlJc w:val="start"/>
      <w:pPr>
        <w:tabs>
          <w:tab w:val="num" w:pos="720"/>
        </w:tabs>
        <w:ind w:start="720" w:hanging="720"/>
      </w:pPr>
      <w:rPr>
        <w:rFonts w:ascii="Symbol" w:hAnsi="Symbol" w:cs="Symbol" w:hint="default"/>
      </w:rPr>
    </w:lvl>
  </w:abstractNum>
  <w:abstractNum w:abstractNumId="8">
    <w:lvl w:ilvl="0">
      <w:start w:val="1"/>
      <w:numFmt w:val="bullet"/>
      <w:lvlText w:val=""/>
      <w:lvlJc w:val="start"/>
      <w:pPr>
        <w:tabs>
          <w:tab w:val="num" w:pos="720"/>
        </w:tabs>
        <w:ind w:start="720" w:hanging="720"/>
      </w:pPr>
      <w:rPr>
        <w:rFonts w:ascii="Symbol" w:hAnsi="Symbol" w:cs="Symbol" w:hint="default"/>
      </w:rPr>
    </w:lvl>
  </w:abstractNum>
  <w:abstractNum w:abstractNumId="9">
    <w:lvl w:ilvl="0">
      <w:start w:val="1"/>
      <w:numFmt w:val="bullet"/>
      <w:lvlText w:val=""/>
      <w:lvlJc w:val="start"/>
      <w:pPr>
        <w:tabs>
          <w:tab w:val="num" w:pos="720"/>
        </w:tabs>
        <w:ind w:start="720" w:hanging="720"/>
      </w:pPr>
      <w:rPr>
        <w:rFonts w:ascii="Symbol" w:hAnsi="Symbol" w:cs="Symbol" w:hint="default"/>
      </w:rPr>
    </w:lvl>
  </w:abstractNum>
  <w:abstractNum w:abstractNumId="10">
    <w:lvl w:ilvl="0">
      <w:start w:val="1"/>
      <w:numFmt w:val="bullet"/>
      <w:lvlText w:val=""/>
      <w:lvlJc w:val="start"/>
      <w:pPr>
        <w:tabs>
          <w:tab w:val="num" w:pos="720"/>
        </w:tabs>
        <w:ind w:start="720" w:hanging="720"/>
      </w:pPr>
      <w:rPr>
        <w:rFonts w:ascii="Symbol" w:hAnsi="Symbol" w:cs="Symbol" w:hint="default"/>
      </w:rPr>
    </w:lvl>
  </w:abstractNum>
  <w:abstractNum w:abstractNumId="11">
    <w:lvl w:ilvl="0">
      <w:start w:val="1"/>
      <w:numFmt w:val="bullet"/>
      <w:lvlText w:val=""/>
      <w:lvlJc w:val="start"/>
      <w:pPr>
        <w:tabs>
          <w:tab w:val="num" w:pos="720"/>
        </w:tabs>
        <w:ind w:start="720" w:hanging="720"/>
      </w:pPr>
      <w:rPr>
        <w:rFonts w:ascii="Symbol" w:hAnsi="Symbol" w:cs="Symbol" w:hint="default"/>
      </w:rPr>
    </w:lvl>
  </w:abstractNum>
  <w:abstractNum w:abstractNumId="12">
    <w:lvl w:ilvl="0">
      <w:start w:val="1"/>
      <w:numFmt w:val="bullet"/>
      <w:lvlText w:val=""/>
      <w:lvlJc w:val="start"/>
      <w:pPr>
        <w:tabs>
          <w:tab w:val="num" w:pos="720"/>
        </w:tabs>
        <w:ind w:start="720" w:hanging="720"/>
      </w:pPr>
      <w:rPr>
        <w:rFonts w:ascii="Symbol" w:hAnsi="Symbol" w:cs="Symbol" w:hint="default"/>
      </w:rPr>
    </w:lvl>
  </w:abstractNum>
  <w:abstractNum w:abstractNumId="13">
    <w:lvl w:ilvl="0">
      <w:start w:val="1"/>
      <w:numFmt w:val="bullet"/>
      <w:lvlText w:val=""/>
      <w:lvlJc w:val="start"/>
      <w:pPr>
        <w:tabs>
          <w:tab w:val="num" w:pos="720"/>
        </w:tabs>
        <w:ind w:start="720" w:hanging="720"/>
      </w:pPr>
      <w:rPr>
        <w:rFonts w:ascii="Symbol" w:hAnsi="Symbol" w:cs="Symbol" w:hint="default"/>
      </w:rPr>
    </w:lvl>
  </w:abstractNum>
  <w:abstractNum w:abstractNumId="14">
    <w:lvl w:ilvl="0">
      <w:start w:val="1"/>
      <w:numFmt w:val="bullet"/>
      <w:lvlText w:val=""/>
      <w:lvlJc w:val="start"/>
      <w:pPr>
        <w:tabs>
          <w:tab w:val="num" w:pos="720"/>
        </w:tabs>
        <w:ind w:start="720" w:hanging="720"/>
      </w:pPr>
      <w:rPr>
        <w:rFonts w:ascii="Symbol" w:hAnsi="Symbol" w:cs="Symbol" w:hint="default"/>
      </w:rPr>
    </w:lvl>
  </w:abstractNum>
  <w:abstractNum w:abstractNumId="15">
    <w:lvl w:ilvl="0">
      <w:start w:val="1"/>
      <w:numFmt w:val="bullet"/>
      <w:lvlText w:val=""/>
      <w:lvlJc w:val="start"/>
      <w:pPr>
        <w:tabs>
          <w:tab w:val="num" w:pos="720"/>
        </w:tabs>
        <w:ind w:start="720" w:hanging="720"/>
      </w:pPr>
      <w:rPr>
        <w:rFonts w:ascii="Symbol" w:hAnsi="Symbol" w:cs="Symbol" w:hint="default"/>
      </w:rPr>
    </w:lvl>
  </w:abstractNum>
  <w:abstractNum w:abstractNumId="16">
    <w:lvl w:ilvl="0">
      <w:start w:val="1"/>
      <w:numFmt w:val="bullet"/>
      <w:lvlText w:val=""/>
      <w:lvlJc w:val="start"/>
      <w:pPr>
        <w:tabs>
          <w:tab w:val="num" w:pos="720"/>
        </w:tabs>
        <w:ind w:start="720" w:hanging="720"/>
      </w:pPr>
      <w:rPr>
        <w:rFonts w:ascii="Symbol" w:hAnsi="Symbol" w:cs="Symbol" w:hint="default"/>
      </w:rPr>
    </w:lvl>
  </w:abstractNum>
  <w:abstractNum w:abstractNumId="17">
    <w:lvl w:ilvl="0">
      <w:start w:val="1"/>
      <w:numFmt w:val="bullet"/>
      <w:lvlText w:val=""/>
      <w:lvlJc w:val="start"/>
      <w:pPr>
        <w:tabs>
          <w:tab w:val="num" w:pos="720"/>
        </w:tabs>
        <w:ind w:start="720" w:hanging="720"/>
      </w:pPr>
      <w:rPr>
        <w:rFonts w:ascii="Symbol" w:hAnsi="Symbol" w:cs="Symbol" w:hint="default"/>
      </w:rPr>
    </w:lvl>
  </w:abstractNum>
  <w:abstractNum w:abstractNumId="18">
    <w:lvl w:ilvl="0">
      <w:start w:val="1"/>
      <w:numFmt w:val="bullet"/>
      <w:lvlText w:val=""/>
      <w:lvlJc w:val="start"/>
      <w:pPr>
        <w:tabs>
          <w:tab w:val="num" w:pos="720"/>
        </w:tabs>
        <w:ind w:start="720" w:hanging="720"/>
      </w:pPr>
      <w:rPr>
        <w:rFonts w:ascii="Symbol" w:hAnsi="Symbol" w:cs="Symbol" w:hint="default"/>
      </w:rPr>
    </w:lvl>
  </w:abstractNum>
  <w:abstractNum w:abstractNumId="19">
    <w:lvl w:ilvl="0">
      <w:start w:val="1"/>
      <w:numFmt w:val="bullet"/>
      <w:lvlText w:val=""/>
      <w:lvlJc w:val="start"/>
      <w:pPr>
        <w:tabs>
          <w:tab w:val="num" w:pos="720"/>
        </w:tabs>
        <w:ind w:start="720" w:hanging="720"/>
      </w:pPr>
      <w:rPr>
        <w:rFonts w:ascii="Symbol" w:hAnsi="Symbol" w:cs="Symbol" w:hint="default"/>
      </w:rPr>
    </w:lvl>
  </w:abstractNum>
  <w:abstractNum w:abstractNumId="20">
    <w:lvl w:ilvl="0">
      <w:start w:val="1"/>
      <w:numFmt w:val="bullet"/>
      <w:lvlText w:val=""/>
      <w:lvlJc w:val="start"/>
      <w:pPr>
        <w:tabs>
          <w:tab w:val="num" w:pos="720"/>
        </w:tabs>
        <w:ind w:start="720" w:hanging="720"/>
      </w:pPr>
      <w:rPr>
        <w:rFonts w:ascii="Symbol" w:hAnsi="Symbol" w:cs="Symbol" w:hint="default"/>
      </w:rPr>
    </w:lvl>
  </w:abstractNum>
  <w:abstractNum w:abstractNumId="21">
    <w:lvl w:ilvl="0">
      <w:start w:val="1"/>
      <w:numFmt w:val="bullet"/>
      <w:lvlText w:val=""/>
      <w:lvlJc w:val="start"/>
      <w:pPr>
        <w:tabs>
          <w:tab w:val="num" w:pos="720"/>
        </w:tabs>
        <w:ind w:start="720" w:hanging="720"/>
      </w:pPr>
      <w:rPr>
        <w:rFonts w:ascii="Symbol" w:hAnsi="Symbol" w:cs="Symbol" w:hint="default"/>
      </w:rPr>
    </w:lvl>
  </w:abstractNum>
  <w:abstractNum w:abstractNumId="22">
    <w:lvl w:ilvl="0">
      <w:start w:val="1"/>
      <w:numFmt w:val="bullet"/>
      <w:lvlText w:val=""/>
      <w:lvlJc w:val="start"/>
      <w:pPr>
        <w:tabs>
          <w:tab w:val="num" w:pos="720"/>
        </w:tabs>
        <w:ind w:start="720" w:hanging="720"/>
      </w:pPr>
      <w:rPr>
        <w:rFonts w:ascii="Symbol" w:hAnsi="Symbol" w:cs="Symbol" w:hint="default"/>
      </w:rPr>
    </w:lvl>
  </w:abstractNum>
  <w:abstractNum w:abstractNumId="23">
    <w:lvl w:ilvl="0">
      <w:start w:val="1"/>
      <w:numFmt w:val="bullet"/>
      <w:lvlText w:val=""/>
      <w:lvlJc w:val="start"/>
      <w:pPr>
        <w:tabs>
          <w:tab w:val="num" w:pos="720"/>
        </w:tabs>
        <w:ind w:start="72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keepLines/>
      <w:numPr>
        <w:ilvl w:val="0"/>
        <w:numId w:val="1"/>
      </w:numPr>
      <w:jc w:val="center"/>
      <w:outlineLvl w:val="0"/>
    </w:pPr>
    <w:rPr>
      <w:b/>
      <w:caps/>
      <w:spacing w:val="-3"/>
      <w:lang w:eastAsia="en-US"/>
    </w:rPr>
  </w:style>
  <w:style w:type="paragraph" w:styleId="Heading2">
    <w:name w:val="heading 2"/>
    <w:basedOn w:val="Normal"/>
    <w:next w:val="Normal"/>
    <w:qFormat/>
    <w:pPr>
      <w:keepNext w:val="true"/>
      <w:keepLines/>
      <w:numPr>
        <w:ilvl w:val="1"/>
        <w:numId w:val="1"/>
      </w:numPr>
      <w:spacing w:before="0" w:after="240"/>
      <w:ind w:hanging="720" w:start="720" w:end="0"/>
      <w:outlineLvl w:val="1"/>
    </w:pPr>
    <w:rPr>
      <w:b/>
      <w:lang w:eastAsia="en-US"/>
    </w:rPr>
  </w:style>
  <w:style w:type="paragraph" w:styleId="Heading3">
    <w:name w:val="heading 3"/>
    <w:basedOn w:val="Normal"/>
    <w:next w:val="Normal"/>
    <w:qFormat/>
    <w:pPr>
      <w:keepNext w:val="true"/>
      <w:keepLines/>
      <w:numPr>
        <w:ilvl w:val="2"/>
        <w:numId w:val="1"/>
      </w:numPr>
      <w:spacing w:before="0" w:after="240"/>
      <w:ind w:hanging="720" w:start="1440" w:end="0"/>
      <w:outlineLvl w:val="2"/>
    </w:pPr>
    <w:rPr>
      <w:b/>
      <w:lang w:eastAsia="en-US"/>
    </w:rPr>
  </w:style>
  <w:style w:type="paragraph" w:styleId="Heading4">
    <w:name w:val="heading 4"/>
    <w:basedOn w:val="Normal"/>
    <w:next w:val="Normal"/>
    <w:qFormat/>
    <w:pPr>
      <w:keepNext w:val="true"/>
      <w:keepLines/>
      <w:numPr>
        <w:ilvl w:val="3"/>
        <w:numId w:val="1"/>
      </w:numPr>
      <w:spacing w:before="0" w:after="240"/>
      <w:ind w:hanging="720" w:start="2160" w:end="0"/>
      <w:outlineLvl w:val="3"/>
    </w:pPr>
    <w:rPr>
      <w:b/>
      <w:lang w:eastAsia="en-US"/>
    </w:rPr>
  </w:style>
  <w:style w:type="paragraph" w:styleId="Heading5">
    <w:name w:val="heading 5"/>
    <w:basedOn w:val="Normal"/>
    <w:next w:val="Normal"/>
    <w:qFormat/>
    <w:pPr>
      <w:keepNext w:val="true"/>
      <w:keepLines/>
      <w:numPr>
        <w:ilvl w:val="4"/>
        <w:numId w:val="1"/>
      </w:numPr>
      <w:spacing w:before="0" w:after="240"/>
      <w:ind w:hanging="720" w:start="2880" w:end="0"/>
      <w:outlineLvl w:val="4"/>
    </w:pPr>
    <w:rPr>
      <w:b/>
      <w:lang w:eastAsia="en-US"/>
    </w:rPr>
  </w:style>
  <w:style w:type="paragraph" w:styleId="Heading6">
    <w:name w:val="heading 6"/>
    <w:basedOn w:val="Normal"/>
    <w:next w:val="Normal"/>
    <w:qFormat/>
    <w:pPr>
      <w:keepNext w:val="true"/>
      <w:keepLines/>
      <w:numPr>
        <w:ilvl w:val="5"/>
        <w:numId w:val="1"/>
      </w:numPr>
      <w:spacing w:before="0" w:after="240"/>
      <w:ind w:hanging="720" w:start="3600" w:end="0"/>
      <w:outlineLvl w:val="5"/>
    </w:pPr>
    <w:rPr>
      <w:b/>
    </w:rPr>
  </w:style>
  <w:style w:type="paragraph" w:styleId="Heading7">
    <w:name w:val="heading 7"/>
    <w:basedOn w:val="Normal"/>
    <w:next w:val="Normal"/>
    <w:qFormat/>
    <w:pPr>
      <w:keepNext w:val="true"/>
      <w:keepLines/>
      <w:numPr>
        <w:ilvl w:val="6"/>
        <w:numId w:val="1"/>
      </w:numPr>
      <w:spacing w:before="0" w:after="240"/>
      <w:ind w:hanging="720" w:start="4320" w:end="0"/>
      <w:outlineLvl w:val="6"/>
    </w:pPr>
    <w:rPr>
      <w:b/>
    </w:rPr>
  </w:style>
  <w:style w:type="paragraph" w:styleId="Heading8">
    <w:name w:val="heading 8"/>
    <w:basedOn w:val="Normal"/>
    <w:next w:val="Normal"/>
    <w:qFormat/>
    <w:pPr>
      <w:keepNext w:val="true"/>
      <w:keepLines/>
      <w:numPr>
        <w:ilvl w:val="7"/>
        <w:numId w:val="1"/>
      </w:numPr>
      <w:spacing w:before="0" w:after="240"/>
      <w:ind w:hanging="720" w:start="5040" w:end="0"/>
      <w:outlineLvl w:val="7"/>
    </w:pPr>
    <w:rPr>
      <w:b/>
    </w:rPr>
  </w:style>
  <w:style w:type="paragraph" w:styleId="Heading9">
    <w:name w:val="heading 9"/>
    <w:basedOn w:val="Normal"/>
    <w:next w:val="Normal"/>
    <w:qFormat/>
    <w:pPr>
      <w:keepNext w:val="true"/>
      <w:keepLines/>
      <w:numPr>
        <w:ilvl w:val="8"/>
        <w:numId w:val="1"/>
      </w:numPr>
      <w:spacing w:before="0" w:after="240"/>
      <w:ind w:hanging="720" w:start="5760" w:end="0"/>
      <w:outlineLvl w:val="8"/>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style>
  <w:style w:type="character" w:styleId="DefaultParagraphFont">
    <w:name w:val="Default Paragraph Font"/>
    <w:qFormat/>
    <w:rPr/>
  </w:style>
  <w:style w:type="character" w:styleId="LineNumber">
    <w:name w:val="line number"/>
    <w:basedOn w:val="DefaultParagraphFont"/>
    <w:rPr>
      <w:sz w:val="24"/>
    </w:rPr>
  </w:style>
  <w:style w:type="character" w:styleId="FootnoteCharacters">
    <w:name w:val="Footnote Characters"/>
    <w:basedOn w:val="DefaultParagraphFont"/>
    <w:qFormat/>
    <w:rPr>
      <w:sz w:val="24"/>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4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120" w:after="120"/>
      <w:ind w:hanging="720" w:start="720" w:end="0"/>
    </w:pPr>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style>
  <w:style w:type="paragraph" w:styleId="Style11">
    <w:name w:val="Style1"/>
    <w:basedOn w:val="Heading2"/>
    <w:qFormat/>
    <w:pPr>
      <w:numPr>
        <w:ilvl w:val="0"/>
        <w:numId w:val="0"/>
      </w:numPr>
      <w:ind w:hanging="720" w:start="720"/>
      <w:jc w:val="both"/>
      <w:outlineLvl w:val="9"/>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
    <w:name w:val="Footnote Tex"/>
    <w:basedOn w:val="Normal"/>
    <w:qFormat/>
    <w:pPr>
      <w:pBdr>
        <w:top w:val="single" w:sz="6" w:space="0" w:color="FFFFFF"/>
        <w:left w:val="single" w:sz="6" w:space="0" w:color="FFFFFF"/>
        <w:bottom w:val="single" w:sz="6" w:space="0" w:color="FFFFFF"/>
        <w:right w:val="single" w:sz="6" w:space="0" w:color="FFFFFF"/>
      </w:pBdr>
      <w:spacing w:before="0" w:after="240"/>
      <w:ind w:hanging="720" w:start="720" w:end="0"/>
    </w:pPr>
    <w:rPr>
      <w:color w:val="000000"/>
      <w:lang w:eastAsia="en-US"/>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1440" w:end="0"/>
    </w:pPr>
    <w:rPr>
      <w:sz w:val="44"/>
    </w:rPr>
  </w:style>
  <w:style w:type="paragraph" w:styleId="BodyTextIndent2">
    <w:name w:val="Body Text Indent 2"/>
    <w:basedOn w:val="Normal"/>
    <w:qFormat/>
    <w:pPr>
      <w:ind w:hanging="720" w:start="720" w:end="0"/>
    </w:pPr>
    <w:rPr>
      <w:sz w:val="44"/>
    </w:rPr>
  </w:style>
  <w:style w:type="paragraph" w:styleId="BodyTextIndent3">
    <w:name w:val="Body Text Indent 3"/>
    <w:basedOn w:val="Normal"/>
    <w:qFormat/>
    <w:pPr>
      <w:ind w:hanging="0" w:start="720" w:end="0"/>
    </w:pPr>
    <w:rPr>
      <w:sz w:val="4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mall@Wrightlaw.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yperlink" Target="mailto:Berman@Wrightlaw.com" TargetMode="Externa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1999-09-14T15:34:00Z</dcterms:created>
  <dc:creator>Winnie Howard</dc:creator>
  <dc:description/>
  <dc:language>en-CA</dc:language>
  <cp:lastModifiedBy>Winnie Howard</cp:lastModifiedBy>
  <cp:lastPrinted>1999-09-15T09:05:00Z</cp:lastPrinted>
  <dcterms:modified xsi:type="dcterms:W3CDTF">1999-09-15T10:40:00Z</dcterms:modified>
  <cp:revision>5</cp:revision>
  <dc:subject/>
  <dc:title>SLIDES FOR</dc:title>
</cp:coreProperties>
</file>