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w:object w:dxaOrig="17482" w:dyaOrig="675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50.4pt;margin-top:-57.6pt;width:561.6pt;height:217.0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634912675" r:id="rId2"/>
        </w:objec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MEMORANDUM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To:</w:t>
        <w:tab/>
        <w:tab/>
        <w:t>WSPP Contracting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Michael E. Small, General Counsel to Western Systems Power Pool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August 10,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 xml:space="preserve">Latest draft of revisions to WSPP Agreement for August 20, 1999 meeting at the </w:t>
      </w:r>
    </w:p>
    <w:p>
      <w:pPr>
        <w:pStyle w:val="Normal"/>
        <w:rPr/>
      </w:pPr>
      <w:r>
        <w:rPr/>
        <w:tab/>
        <w:tab/>
        <w:t>Marriott, Denver Airport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Enclosed is the latest draft of the WSPP Agreement including proposed changes.  Unfortunately, we are having difficulty producing a red-lined version; therefore, only the Service Schedules show the changes.  I hope within the next day or two that this problem will be fixed.  At that time, I will send out a red-lined version.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The principal changes involve:  (1) additions to Service Schedule C to better define what is a Firm Product and related changes; (2) language specifically allowing options (mostly in the definitions and confirmation); (3) the inclusion of clarifying definitions (</w:t>
      </w:r>
      <w:r>
        <w:rPr>
          <w:u w:val="single"/>
        </w:rPr>
        <w:t>i.e.</w:t>
      </w:r>
      <w:r>
        <w:rPr/>
        <w:t xml:space="preserve"> letter of credit, guarantee agreement, and guarantor); (4) language in Section 21.3 allowing penalties to be recovered as part of damages for non-performance and clarification that such damages also include the costs of purchasing reserves to cover Seller’s failure to provide the necessary reserves; (5) the addition of language (§ 37) binding parties to amendments and grandfathering old transactions under the prior version if the agreement is modified; (6) the reordering of the pricing provisions in the service schedules and imposing an obligation on the Seller to state if it does not the have authority to charge market rates; and (7) the addition of dispute resolution and mediation procedures.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At the August 20 meeting, we will give these additions a final review.  There also are a number of issues to discuss, including the following: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1.</w:t>
        <w:tab/>
        <w:t>Whether the language in Section 21.1 eliminating the waiver of consequential and other types of damages for intentional and other types of acts should be removed.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>Whether additional changes to the damage and liquidation calculation provisions need to be added to reflect the addition of options.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3.</w:t>
        <w:tab/>
        <w:t>Whether audit provisions which keep open a bill for one year should be added.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Whether penalties should be expressly included in the definition of costs as used in determining the liquidation amounts.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ab/>
        <w:t>If we have time, we can discuss the implications of Cinergy’s recent actions.  For example, do we need to better define what due diligence requires in a force majeure context?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The meeting to discuss these changes will be at the Denver Airport Marriott (303-371-4333).  The meeting will begin at 10:00 a.m. and should be finished by 2:30 p.m.  Please let my secretary know if you are attending (</w:t>
      </w:r>
      <w:hyperlink r:id="rId4">
        <w:r>
          <w:rPr>
            <w:rStyle w:val="Hyperlink"/>
          </w:rPr>
          <w:t>Howard@wrightlaw.com)</w:t>
        </w:r>
      </w:hyperlink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Jim Kenney</w:t>
      </w:r>
    </w:p>
    <w:p>
      <w:pPr>
        <w:pStyle w:val="Normal"/>
        <w:rPr/>
      </w:pPr>
      <w:r>
        <w:rPr/>
        <w:tab/>
        <w:t>Beth Bowman</w:t>
      </w:r>
    </w:p>
    <w:p>
      <w:pPr>
        <w:pStyle w:val="Normal"/>
        <w:rPr/>
      </w:pPr>
      <w:r>
        <w:rPr/>
        <w:tab/>
        <w:t>Ricky Bittle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wspp\1003-415-147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5"/>
      <w:footerReference w:type="first" r:id="rId6"/>
      <w:type w:val="nextPage"/>
      <w:pgSz w:w="12240" w:h="15840"/>
      <w:pgMar w:left="1440" w:right="1440" w:gutter="0" w:header="0" w:top="1440" w:footer="965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spacing w:lineRule="atLeast" w:line="180" w:before="600" w:after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010" cy="556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" cy="556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keepLines/>
                            <w:spacing w:lineRule="atLeast" w:line="180" w:before="60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3pt;height:43.8pt;mso-wrap-distance-left:0pt;mso-wrap-distance-right:0pt;mso-wrap-distance-top:0pt;mso-wrap-distance-bottom:0pt;margin-top:0.05pt;mso-position-vertical-relative:text;margin-left:230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keepLines/>
                      <w:spacing w:lineRule="atLeast" w:line="180" w:before="60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caps/>
      <w:spacing w:val="-3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</w:rPr>
  </w:style>
  <w:style w:type="character" w:styleId="CommentReference">
    <w:name w:val="Comment Reference"/>
    <w:basedOn w:val="DefaultParagraphFont"/>
    <w:qFormat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tyle11">
    <w:name w:val="Style1"/>
    <w:basedOn w:val="Heading2"/>
    <w:qFormat/>
    <w:pPr>
      <w:numPr>
        <w:ilvl w:val="0"/>
        <w:numId w:val="0"/>
      </w:numPr>
      <w:ind w:hanging="720" w:start="720"/>
      <w:jc w:val="both"/>
      <w:outlineLvl w:val="9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">
    <w:name w:val="Footnote Tex"/>
    <w:basedOn w:val="Normal"/>
    <w:qFormat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0" w:after="240"/>
      <w:ind w:hanging="720" w:start="720" w:end="0"/>
    </w:pPr>
    <w:rPr>
      <w:color w:val="000000"/>
      <w:lang w:eastAsia="en-US"/>
    </w:rPr>
  </w:style>
  <w:style w:type="paragraph" w:styleId="TOC1">
    <w:name w:val="toc 1"/>
    <w:basedOn w:val="Normal"/>
    <w:next w:val="Normal"/>
    <w:pPr>
      <w:keepNext w:val="true"/>
      <w:keepLines/>
      <w:spacing w:before="0" w:after="240"/>
      <w:jc w:val="center"/>
    </w:pPr>
    <w:rPr>
      <w:b/>
      <w:caps/>
    </w:rPr>
  </w:style>
  <w:style w:type="paragraph" w:styleId="TOC2">
    <w:name w:val="toc 2"/>
    <w:basedOn w:val="Normal"/>
    <w:next w:val="Normal"/>
    <w:pPr>
      <w:keepNext w:val="true"/>
      <w:keepLines/>
      <w:spacing w:before="0" w:after="240"/>
      <w:ind w:hanging="720" w:start="720" w:end="0"/>
    </w:pPr>
    <w:rPr>
      <w:b/>
    </w:rPr>
  </w:style>
  <w:style w:type="paragraph" w:styleId="TOC3">
    <w:name w:val="toc 3"/>
    <w:basedOn w:val="Normal"/>
    <w:next w:val="Normal"/>
    <w:pPr>
      <w:keepNext w:val="true"/>
      <w:keepLines/>
      <w:spacing w:before="0" w:after="240"/>
      <w:ind w:hanging="720" w:start="1440" w:end="0"/>
    </w:pPr>
    <w:rPr>
      <w:b/>
    </w:rPr>
  </w:style>
  <w:style w:type="paragraph" w:styleId="TOC4">
    <w:name w:val="toc 4"/>
    <w:basedOn w:val="Normal"/>
    <w:next w:val="Normal"/>
    <w:pPr>
      <w:keepNext w:val="true"/>
      <w:keepLines/>
      <w:spacing w:before="0" w:after="240"/>
      <w:ind w:hanging="720" w:start="2160" w:end="0"/>
    </w:pPr>
    <w:rPr>
      <w:b/>
    </w:rPr>
  </w:style>
  <w:style w:type="paragraph" w:styleId="TOC5">
    <w:name w:val="toc 5"/>
    <w:basedOn w:val="Normal"/>
    <w:next w:val="Normal"/>
    <w:pPr>
      <w:keepNext w:val="true"/>
      <w:keepLines/>
      <w:spacing w:before="0" w:after="240"/>
      <w:ind w:hanging="720" w:start="2880" w:end="0"/>
    </w:pPr>
    <w:rPr>
      <w:b/>
    </w:rPr>
  </w:style>
  <w:style w:type="paragraph" w:styleId="TOC6">
    <w:name w:val="toc 6"/>
    <w:basedOn w:val="Normal"/>
    <w:next w:val="Normal"/>
    <w:pPr>
      <w:keepNext w:val="true"/>
      <w:keepLines/>
      <w:spacing w:before="0" w:after="240"/>
      <w:ind w:hanging="720" w:start="3600" w:end="0"/>
    </w:pPr>
    <w:rPr>
      <w:b/>
    </w:rPr>
  </w:style>
  <w:style w:type="paragraph" w:styleId="TOC7">
    <w:name w:val="toc 7"/>
    <w:basedOn w:val="Normal"/>
    <w:next w:val="Normal"/>
    <w:pPr>
      <w:keepNext w:val="true"/>
      <w:keepLines/>
      <w:spacing w:before="0" w:after="240"/>
      <w:ind w:hanging="720" w:start="4320" w:end="0"/>
    </w:pPr>
    <w:rPr>
      <w:b/>
    </w:rPr>
  </w:style>
  <w:style w:type="paragraph" w:styleId="TOC8">
    <w:name w:val="toc 8"/>
    <w:basedOn w:val="Normal"/>
    <w:next w:val="Normal"/>
    <w:pPr>
      <w:keepNext w:val="true"/>
      <w:keepLines/>
      <w:spacing w:before="0" w:after="240"/>
      <w:ind w:hanging="720" w:start="5040" w:end="0"/>
    </w:pPr>
    <w:rPr>
      <w:b/>
    </w:rPr>
  </w:style>
  <w:style w:type="paragraph" w:styleId="TOC9">
    <w:name w:val="toc 9"/>
    <w:basedOn w:val="Normal"/>
    <w:next w:val="Normal"/>
    <w:pPr>
      <w:keepNext w:val="true"/>
      <w:keepLines/>
      <w:spacing w:before="0" w:after="240"/>
      <w:ind w:hanging="720" w:start="5760" w:end="0"/>
    </w:pPr>
    <w:rPr>
      <w:b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paragraph" w:styleId="Footer">
    <w:name w:val="footer"/>
    <w:basedOn w:val="Normal"/>
    <w:pPr>
      <w:keepLines/>
      <w:tabs>
        <w:tab w:val="clear" w:pos="720"/>
        <w:tab w:val="center" w:pos="4320" w:leader="none"/>
        <w:tab w:val="right" w:pos="8640" w:leader="none"/>
      </w:tabs>
      <w:spacing w:lineRule="atLeast" w:line="180" w:before="600" w:after="0"/>
    </w:pPr>
    <w:rPr>
      <w:spacing w:val="-5"/>
    </w:rPr>
  </w:style>
  <w:style w:type="paragraph" w:styleId="CommentText">
    <w:name w:val="Comment Text"/>
    <w:basedOn w:val="Normal"/>
    <w:qFormat/>
    <w:pPr/>
    <w:rPr/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mailto:Howard@wrightlaw.com)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Memo Format.dot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1999-08-09T16:11:00Z</dcterms:created>
  <dc:creator>Winnie Howard</dc:creator>
  <dc:description/>
  <dc:language>en-CA</dc:language>
  <cp:lastModifiedBy>Winnie Howard</cp:lastModifiedBy>
  <cp:lastPrinted>1999-08-10T09:37:00Z</cp:lastPrinted>
  <dcterms:modified xsi:type="dcterms:W3CDTF">1999-08-10T11:07:00Z</dcterms:modified>
  <cp:revision>4</cp:revision>
  <dc:subject/>
  <dc:title>MEMORANDUM</dc:title>
</cp:coreProperties>
</file>