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Message Points for Discussion with Governor Guinn</w:t>
      </w:r>
    </w:p>
    <w:p>
      <w:pPr>
        <w:pStyle w:val="Heading"/>
        <w:rPr/>
      </w:pPr>
      <w:r>
        <w:rPr/>
      </w:r>
    </w:p>
    <w:p>
      <w:pPr>
        <w:pStyle w:val="Heading"/>
        <w:numPr>
          <w:ilvl w:val="0"/>
          <w:numId w:val="2"/>
        </w:numPr>
        <w:jc w:val="start"/>
        <w:rPr/>
      </w:pPr>
      <w:r>
        <w:rPr/>
        <w:t>Enron has a number of interests in Nevada including:</w:t>
      </w:r>
    </w:p>
    <w:p>
      <w:pPr>
        <w:pStyle w:val="Heading"/>
        <w:numPr>
          <w:ilvl w:val="1"/>
          <w:numId w:val="2"/>
        </w:numPr>
        <w:jc w:val="start"/>
        <w:rPr/>
      </w:pPr>
      <w:r>
        <w:rPr/>
        <w:t>Retail sales, in this regard EES is talking with a number of the casino properties;</w:t>
      </w:r>
    </w:p>
    <w:p>
      <w:pPr>
        <w:pStyle w:val="Heading"/>
        <w:numPr>
          <w:ilvl w:val="1"/>
          <w:numId w:val="2"/>
        </w:numPr>
        <w:jc w:val="start"/>
        <w:rPr/>
      </w:pPr>
      <w:r>
        <w:rPr/>
        <w:t>Wholesale sales—ENA currently provides power to NPCo/Sierra through a variety of contracts.  ENA wants to be a supplier to the provider of last resort.</w:t>
      </w:r>
    </w:p>
    <w:p>
      <w:pPr>
        <w:pStyle w:val="Heading"/>
        <w:numPr>
          <w:ilvl w:val="1"/>
          <w:numId w:val="2"/>
        </w:numPr>
        <w:jc w:val="start"/>
        <w:rPr/>
      </w:pPr>
      <w:r>
        <w:rPr/>
        <w:t>QFs—we hold ownership interests in two QFs in Nevada.</w:t>
      </w:r>
    </w:p>
    <w:p>
      <w:pPr>
        <w:pStyle w:val="Heading"/>
        <w:numPr>
          <w:ilvl w:val="1"/>
          <w:numId w:val="2"/>
        </w:numPr>
        <w:jc w:val="start"/>
        <w:rPr/>
      </w:pPr>
      <w:r>
        <w:rPr/>
        <w:t>The Sale of PGE to Sierra Pacific Resources—the parent company for Nevada Power Company and Sierra Pacific Power Company.</w:t>
      </w:r>
    </w:p>
    <w:p>
      <w:pPr>
        <w:pStyle w:val="Heading"/>
        <w:jc w:val="start"/>
        <w:rPr/>
      </w:pPr>
      <w:r>
        <w:rPr/>
      </w:r>
    </w:p>
    <w:p>
      <w:pPr>
        <w:pStyle w:val="Heading"/>
        <w:numPr>
          <w:ilvl w:val="0"/>
          <w:numId w:val="2"/>
        </w:numPr>
        <w:jc w:val="start"/>
        <w:rPr/>
      </w:pPr>
      <w:r>
        <w:rPr/>
        <w:t>We understand that decided to delay the date for opening Nevada’s electricity  markets so that a bipartisan panel can examine restructuring.  We also understand that your decision did not affect the “global settlement” negotiated by the stakeholders to Nevada’s restructuring process.  We supports the global settlement and the balance it has achieved between protecting ratepayers, maintaining the financial security of Nevada’s utilities, and creating a structure that should allow competition to take hold in the state.</w:t>
      </w:r>
    </w:p>
    <w:p>
      <w:pPr>
        <w:pStyle w:val="Heading"/>
        <w:jc w:val="start"/>
        <w:rPr/>
      </w:pPr>
      <w:r>
        <w:rPr/>
      </w:r>
    </w:p>
    <w:p>
      <w:pPr>
        <w:pStyle w:val="Heading"/>
        <w:numPr>
          <w:ilvl w:val="0"/>
          <w:numId w:val="2"/>
        </w:numPr>
        <w:jc w:val="start"/>
        <w:rPr/>
      </w:pPr>
      <w:r>
        <w:rPr/>
        <w:t xml:space="preserve">We know you are getting tremendous pressure from the Democrats in the state that want to upset the apple cart.  We urge you to hold firm.  California’s problems do not need to affect Nevada.  </w:t>
      </w:r>
    </w:p>
    <w:p>
      <w:pPr>
        <w:pStyle w:val="Heading"/>
        <w:jc w:val="start"/>
        <w:rPr/>
      </w:pPr>
      <w:r>
        <w:rPr/>
      </w:r>
    </w:p>
    <w:p>
      <w:pPr>
        <w:pStyle w:val="Heading"/>
        <w:numPr>
          <w:ilvl w:val="0"/>
          <w:numId w:val="2"/>
        </w:numPr>
        <w:jc w:val="start"/>
        <w:rPr/>
      </w:pPr>
      <w:r>
        <w:rPr/>
        <w:t xml:space="preserve">California’s problems are a unique combination of supply shortage, regulatory micro-management, and a market structure that was purposefully designed to keep customers out of the market while the utilities collected their stranded costs.  </w:t>
      </w:r>
    </w:p>
    <w:p>
      <w:pPr>
        <w:pStyle w:val="Heading"/>
        <w:jc w:val="start"/>
        <w:rPr/>
      </w:pPr>
      <w:r>
        <w:rPr/>
      </w:r>
    </w:p>
    <w:p>
      <w:pPr>
        <w:pStyle w:val="Heading"/>
        <w:numPr>
          <w:ilvl w:val="0"/>
          <w:numId w:val="2"/>
        </w:numPr>
        <w:jc w:val="start"/>
        <w:rPr/>
      </w:pPr>
      <w:r>
        <w:rPr/>
        <w:t xml:space="preserve">There are solutions, even to California’s problems, including </w:t>
      </w:r>
    </w:p>
    <w:p>
      <w:pPr>
        <w:pStyle w:val="Heading"/>
        <w:numPr>
          <w:ilvl w:val="1"/>
          <w:numId w:val="2"/>
        </w:numPr>
        <w:jc w:val="start"/>
        <w:rPr/>
      </w:pPr>
      <w:r>
        <w:rPr/>
        <w:t xml:space="preserve">taking actions to expedite the siting and construction of power plants—it takes four years to site, permit and construct a plant in California, </w:t>
      </w:r>
    </w:p>
    <w:p>
      <w:pPr>
        <w:pStyle w:val="Heading"/>
        <w:numPr>
          <w:ilvl w:val="1"/>
          <w:numId w:val="2"/>
        </w:numPr>
        <w:jc w:val="start"/>
        <w:rPr/>
      </w:pPr>
      <w:r>
        <w:rPr/>
        <w:t>allowing the utilities to hedge their power costs—past CPUC action made it clear that only short-term, spot, purchases were prudent.</w:t>
      </w:r>
    </w:p>
    <w:p>
      <w:pPr>
        <w:pStyle w:val="Heading"/>
        <w:numPr>
          <w:ilvl w:val="1"/>
          <w:numId w:val="2"/>
        </w:numPr>
        <w:jc w:val="start"/>
        <w:rPr/>
      </w:pPr>
      <w:r>
        <w:rPr/>
        <w:t xml:space="preserve">Encouraging customers to choose—we have been able to offer customers long-term fixed pricing options that eliminate market volatility risk to consumers.  </w:t>
      </w:r>
    </w:p>
    <w:p>
      <w:pPr>
        <w:pStyle w:val="Heading"/>
        <w:jc w:val="start"/>
        <w:rPr/>
      </w:pPr>
      <w:r>
        <w:rPr/>
      </w:r>
    </w:p>
    <w:p>
      <w:pPr>
        <w:pStyle w:val="Heading"/>
        <w:numPr>
          <w:ilvl w:val="0"/>
          <w:numId w:val="2"/>
        </w:numPr>
        <w:jc w:val="start"/>
        <w:rPr/>
      </w:pPr>
      <w:r>
        <w:rPr/>
        <w:t>These solutions can be achieved in Nevada.  Many are already present in the global settlement, which:</w:t>
      </w:r>
    </w:p>
    <w:p>
      <w:pPr>
        <w:pStyle w:val="Heading"/>
        <w:numPr>
          <w:ilvl w:val="1"/>
          <w:numId w:val="2"/>
        </w:numPr>
        <w:jc w:val="start"/>
        <w:rPr/>
      </w:pPr>
      <w:r>
        <w:rPr/>
        <w:t>Provides a phase-in for customers;</w:t>
      </w:r>
    </w:p>
    <w:p>
      <w:pPr>
        <w:pStyle w:val="Heading"/>
        <w:numPr>
          <w:ilvl w:val="1"/>
          <w:numId w:val="2"/>
        </w:numPr>
        <w:jc w:val="start"/>
        <w:rPr/>
      </w:pPr>
      <w:r>
        <w:rPr/>
        <w:t xml:space="preserve">Limits customer’s exposure to spot market volatility through the limits of the monthly purchased power adjustments.  </w:t>
      </w:r>
    </w:p>
    <w:p>
      <w:pPr>
        <w:pStyle w:val="Heading"/>
        <w:jc w:val="start"/>
        <w:rPr/>
      </w:pPr>
      <w:r>
        <w:rPr/>
      </w:r>
    </w:p>
    <w:p>
      <w:pPr>
        <w:pStyle w:val="Heading"/>
        <w:numPr>
          <w:ilvl w:val="0"/>
          <w:numId w:val="2"/>
        </w:numPr>
        <w:jc w:val="start"/>
        <w:rPr/>
      </w:pPr>
      <w:r>
        <w:rPr/>
        <w:t>These solutions can also be achieved through commercial markets.  For example, we are working with a Connecticut utility to fully manage their power supply risks.  We’d like to work with NPCo/Sierra to provide similar services and benefits to Nevada ratepayers.</w:t>
      </w:r>
    </w:p>
    <w:p>
      <w:pPr>
        <w:pStyle w:val="Heading"/>
        <w:jc w:val="start"/>
        <w:rPr/>
      </w:pPr>
      <w:r>
        <w:rPr/>
      </w:r>
    </w:p>
    <w:p>
      <w:pPr>
        <w:pStyle w:val="Heading"/>
        <w:numPr>
          <w:ilvl w:val="0"/>
          <w:numId w:val="2"/>
        </w:numPr>
        <w:jc w:val="start"/>
        <w:rPr/>
      </w:pPr>
      <w:r>
        <w:rPr/>
        <w:t>This is about Nevada, not California.  We urge you to keep the settlement in place.    Let us know how we can be helpful to the process.  We would be happy to participate in the efforts of the bipartisan panel you have created by providing testimony or evidence in its meetings.  If the membership of the panel includes Nevada stakeholders, we would welcome the opportunity to represent the interests of the independent power community.</w:t>
      </w:r>
      <w:r>
        <w:br w:type="page"/>
      </w:r>
    </w:p>
    <w:p>
      <w:pPr>
        <w:pStyle w:val="Heading"/>
        <w:rPr/>
      </w:pPr>
      <w:r>
        <w:rPr/>
        <w:t>Backgrounder for Discussion with Governor Guinn</w:t>
      </w:r>
    </w:p>
    <w:p>
      <w:pPr>
        <w:pStyle w:val="Normal"/>
        <w:jc w:val="center"/>
        <w:rPr>
          <w:sz w:val="24"/>
        </w:rPr>
      </w:pPr>
      <w:r>
        <w:rPr>
          <w:sz w:val="24"/>
        </w:rPr>
      </w:r>
    </w:p>
    <w:p>
      <w:pPr>
        <w:pStyle w:val="Normal"/>
        <w:numPr>
          <w:ilvl w:val="0"/>
          <w:numId w:val="1"/>
        </w:numPr>
        <w:rPr>
          <w:sz w:val="24"/>
        </w:rPr>
      </w:pPr>
      <w:r>
        <w:rPr>
          <w:sz w:val="24"/>
        </w:rPr>
        <w:t xml:space="preserve">AB366/SB438 </w:t>
      </w:r>
    </w:p>
    <w:p>
      <w:pPr>
        <w:pStyle w:val="Normal"/>
        <w:numPr>
          <w:ilvl w:val="1"/>
          <w:numId w:val="1"/>
        </w:numPr>
        <w:rPr>
          <w:sz w:val="24"/>
        </w:rPr>
      </w:pPr>
      <w:r>
        <w:rPr>
          <w:sz w:val="24"/>
        </w:rPr>
        <w:t>Nevada passed a restructuring statute in 1997 (AB 366) and amended the statute in 1999 (SB 438).  As a general matter, Enron supported the legislation in 1997 and did not oppose the amendment in 1999.</w:t>
      </w:r>
    </w:p>
    <w:p>
      <w:pPr>
        <w:pStyle w:val="Normal"/>
        <w:numPr>
          <w:ilvl w:val="1"/>
          <w:numId w:val="1"/>
        </w:numPr>
        <w:rPr>
          <w:sz w:val="24"/>
        </w:rPr>
      </w:pPr>
      <w:r>
        <w:rPr>
          <w:sz w:val="24"/>
        </w:rPr>
        <w:t xml:space="preserve">SB 438 provided Nevada Power Company and Sierra Pacific Power Company ratepayers with a rate freeze until 2003.  </w:t>
      </w:r>
    </w:p>
    <w:p>
      <w:pPr>
        <w:pStyle w:val="Normal"/>
        <w:numPr>
          <w:ilvl w:val="1"/>
          <w:numId w:val="1"/>
        </w:numPr>
        <w:rPr>
          <w:sz w:val="24"/>
        </w:rPr>
      </w:pPr>
      <w:r>
        <w:rPr>
          <w:sz w:val="24"/>
        </w:rPr>
        <w:t>The NPCo rate freeze was subject to a one-time, final, rate adjustment to capture deferred fuel and purchased power costs.  SB 438 amended Nevada law to prohibit future deferred fuel and purchased power rate cases.</w:t>
      </w:r>
    </w:p>
    <w:p>
      <w:pPr>
        <w:pStyle w:val="Normal"/>
        <w:numPr>
          <w:ilvl w:val="1"/>
          <w:numId w:val="1"/>
        </w:numPr>
        <w:rPr>
          <w:sz w:val="24"/>
        </w:rPr>
      </w:pPr>
      <w:r>
        <w:rPr>
          <w:sz w:val="24"/>
        </w:rPr>
        <w:t xml:space="preserve">SB 438 provided the Governor with the authority to set the date for opening Nevada’s markets.   </w:t>
      </w:r>
    </w:p>
    <w:p>
      <w:pPr>
        <w:pStyle w:val="Normal"/>
        <w:rPr>
          <w:sz w:val="24"/>
        </w:rPr>
      </w:pPr>
      <w:r>
        <w:rPr>
          <w:sz w:val="24"/>
        </w:rPr>
      </w:r>
    </w:p>
    <w:p>
      <w:pPr>
        <w:pStyle w:val="Normal"/>
        <w:numPr>
          <w:ilvl w:val="0"/>
          <w:numId w:val="1"/>
        </w:numPr>
        <w:rPr>
          <w:sz w:val="24"/>
        </w:rPr>
      </w:pPr>
      <w:r>
        <w:rPr>
          <w:sz w:val="24"/>
        </w:rPr>
        <w:t>The 1999 Deferred Energy Case.</w:t>
      </w:r>
    </w:p>
    <w:p>
      <w:pPr>
        <w:pStyle w:val="Normal"/>
        <w:numPr>
          <w:ilvl w:val="1"/>
          <w:numId w:val="1"/>
        </w:numPr>
        <w:rPr>
          <w:sz w:val="24"/>
        </w:rPr>
      </w:pPr>
      <w:r>
        <w:rPr>
          <w:sz w:val="24"/>
        </w:rPr>
        <w:t>In the fall of 1999, NPCo filed a request to recover $100 million in deferred fuel and purchased power.  After several PUCN rulings, the PUCN allowed NPCo to recover approximately $15 million.</w:t>
      </w:r>
    </w:p>
    <w:p>
      <w:pPr>
        <w:pStyle w:val="Normal"/>
        <w:numPr>
          <w:ilvl w:val="1"/>
          <w:numId w:val="1"/>
        </w:numPr>
        <w:rPr>
          <w:sz w:val="24"/>
        </w:rPr>
      </w:pPr>
      <w:r>
        <w:rPr>
          <w:sz w:val="24"/>
        </w:rPr>
        <w:t xml:space="preserve">NPCo filed a federal lawsuit to declare SB 438 unconstitutional.  NPCo also filed a state court appeal of the PUCN’s decision in the deferred fuel and purchased power case.  NPCo had already filed appeals of other PUCN decisions and had promised an appeal of two additional PUCN decisions setting the distribution rates for NPCo and Sierra. </w:t>
      </w:r>
    </w:p>
    <w:p>
      <w:pPr>
        <w:pStyle w:val="Normal"/>
        <w:numPr>
          <w:ilvl w:val="1"/>
          <w:numId w:val="1"/>
        </w:numPr>
        <w:rPr>
          <w:sz w:val="24"/>
        </w:rPr>
      </w:pPr>
      <w:r>
        <w:rPr>
          <w:sz w:val="24"/>
        </w:rPr>
        <w:t xml:space="preserve">In June, NPCo and Sierra filed an 8K report with the SEC, indicating that fuel and purchased power prices would have a negative impact on earnings.  Newspaper reports </w:t>
      </w:r>
    </w:p>
    <w:p>
      <w:pPr>
        <w:pStyle w:val="Normal"/>
        <w:rPr>
          <w:sz w:val="24"/>
        </w:rPr>
      </w:pPr>
      <w:r>
        <w:rPr>
          <w:sz w:val="24"/>
        </w:rPr>
      </w:r>
    </w:p>
    <w:p>
      <w:pPr>
        <w:pStyle w:val="Normal"/>
        <w:numPr>
          <w:ilvl w:val="0"/>
          <w:numId w:val="1"/>
        </w:numPr>
        <w:rPr>
          <w:sz w:val="24"/>
        </w:rPr>
      </w:pPr>
      <w:r>
        <w:rPr>
          <w:sz w:val="24"/>
        </w:rPr>
        <w:t>The “Global Settlement”</w:t>
      </w:r>
    </w:p>
    <w:p>
      <w:pPr>
        <w:pStyle w:val="Normal"/>
        <w:numPr>
          <w:ilvl w:val="1"/>
          <w:numId w:val="1"/>
        </w:numPr>
        <w:rPr>
          <w:sz w:val="24"/>
        </w:rPr>
      </w:pPr>
      <w:r>
        <w:rPr>
          <w:sz w:val="24"/>
        </w:rPr>
        <w:t xml:space="preserve">In early July, NPCo, Sierra and other key parties including PUCN staff and the consumer advocate, reached a “global settlement” that resolved NPCo/Sierra’s litigation and several PUCN matters.  Among other things the settlement:  </w:t>
      </w:r>
    </w:p>
    <w:p>
      <w:pPr>
        <w:pStyle w:val="Normal"/>
        <w:numPr>
          <w:ilvl w:val="2"/>
          <w:numId w:val="1"/>
        </w:numPr>
        <w:rPr>
          <w:sz w:val="24"/>
        </w:rPr>
      </w:pPr>
      <w:r>
        <w:rPr>
          <w:sz w:val="24"/>
        </w:rPr>
        <w:t>Provided NPCo/Sierra with a monthly power purchase cost adjustment mechanism.  The mechanism allows NPCo and Sierra to pass through power purchased costs to their customers as a “rider” on their bills.</w:t>
      </w:r>
    </w:p>
    <w:p>
      <w:pPr>
        <w:pStyle w:val="Normal"/>
        <w:numPr>
          <w:ilvl w:val="2"/>
          <w:numId w:val="1"/>
        </w:numPr>
        <w:rPr>
          <w:sz w:val="24"/>
        </w:rPr>
      </w:pPr>
      <w:r>
        <w:rPr>
          <w:sz w:val="24"/>
        </w:rPr>
        <w:t>Set market-opening dates by service territory and class of customers.  The global settlement gives NPCo’s large customers access on November 1, 2000.  The remaining dates for the phase in occur in the spring and fall of 2001.  The settlement gives NPCo/Sierra progress payments if they meet the phase-in dates.</w:t>
      </w:r>
    </w:p>
    <w:p>
      <w:pPr>
        <w:pStyle w:val="Normal"/>
        <w:numPr>
          <w:ilvl w:val="2"/>
          <w:numId w:val="1"/>
        </w:numPr>
        <w:rPr>
          <w:sz w:val="24"/>
        </w:rPr>
      </w:pPr>
      <w:r>
        <w:rPr>
          <w:sz w:val="24"/>
        </w:rPr>
        <w:t>Provide NPCo with a rate increase of approximately 6.5% to settle the deferred energy cost adjustment litigation.</w:t>
      </w:r>
    </w:p>
    <w:p>
      <w:pPr>
        <w:pStyle w:val="Normal"/>
        <w:numPr>
          <w:ilvl w:val="2"/>
          <w:numId w:val="1"/>
        </w:numPr>
        <w:rPr>
          <w:sz w:val="24"/>
        </w:rPr>
      </w:pPr>
      <w:r>
        <w:rPr>
          <w:sz w:val="24"/>
        </w:rPr>
        <w:t>Resolves stranded costs issues as well as other implementation issues.</w:t>
      </w:r>
    </w:p>
    <w:p>
      <w:pPr>
        <w:pStyle w:val="Normal"/>
        <w:rPr>
          <w:sz w:val="24"/>
        </w:rPr>
      </w:pPr>
      <w:r>
        <w:rPr>
          <w:sz w:val="24"/>
        </w:rPr>
      </w:r>
    </w:p>
    <w:p>
      <w:pPr>
        <w:pStyle w:val="Normal"/>
        <w:numPr>
          <w:ilvl w:val="0"/>
          <w:numId w:val="1"/>
        </w:numPr>
        <w:rPr>
          <w:sz w:val="24"/>
        </w:rPr>
      </w:pPr>
      <w:r>
        <w:rPr>
          <w:sz w:val="24"/>
        </w:rPr>
        <w:t>Importance of the Global Settlements to Enron</w:t>
      </w:r>
    </w:p>
    <w:p>
      <w:pPr>
        <w:pStyle w:val="Normal"/>
        <w:numPr>
          <w:ilvl w:val="1"/>
          <w:numId w:val="1"/>
        </w:numPr>
        <w:rPr>
          <w:sz w:val="24"/>
        </w:rPr>
      </w:pPr>
      <w:r>
        <w:rPr>
          <w:sz w:val="24"/>
        </w:rPr>
        <w:t>The Oregon PUC staff has a thorough understanding of the global settlement and its financial implications for Sierra.  OPUC staff attended the PUCN’s hearings on the global settlement and has analyzed the documents.</w:t>
      </w:r>
    </w:p>
    <w:p>
      <w:pPr>
        <w:pStyle w:val="Normal"/>
        <w:numPr>
          <w:ilvl w:val="1"/>
          <w:numId w:val="1"/>
        </w:numPr>
        <w:rPr>
          <w:sz w:val="24"/>
        </w:rPr>
      </w:pPr>
      <w:r>
        <w:rPr>
          <w:sz w:val="24"/>
        </w:rPr>
        <w:t>The settlements were key to resolving the OPUC staff’s concerns with Sierra’s financial stability.  While we haven’t raised the issue with OPUC staff, the OPUC’s consideration of Sierra’s application to acquire PGE would be further delayed if the global settlements in Nevada were undermined by any action of the Governor or other parties.</w:t>
      </w:r>
    </w:p>
    <w:p>
      <w:pPr>
        <w:pStyle w:val="Normal"/>
        <w:numPr>
          <w:ilvl w:val="1"/>
          <w:numId w:val="1"/>
        </w:numPr>
        <w:rPr>
          <w:sz w:val="24"/>
        </w:rPr>
      </w:pPr>
      <w:r>
        <w:rPr>
          <w:sz w:val="24"/>
        </w:rPr>
        <w:t xml:space="preserve">The global settlement is also important as it cements Sierra’s commitment to sell their generating plants.  The sale of these plants is critical to SEC and FERC approval of Sierra’s acquisition of PGE.  </w:t>
      </w:r>
    </w:p>
    <w:p>
      <w:pPr>
        <w:pStyle w:val="Normal"/>
        <w:numPr>
          <w:ilvl w:val="1"/>
          <w:numId w:val="1"/>
        </w:numPr>
        <w:rPr>
          <w:sz w:val="24"/>
        </w:rPr>
      </w:pPr>
      <w:r>
        <w:rPr>
          <w:sz w:val="24"/>
        </w:rPr>
        <w:t xml:space="preserve">The global settlement cements Sierra’s commitment because:  </w:t>
      </w:r>
    </w:p>
    <w:p>
      <w:pPr>
        <w:pStyle w:val="Normal"/>
        <w:numPr>
          <w:ilvl w:val="2"/>
          <w:numId w:val="1"/>
        </w:numPr>
        <w:rPr>
          <w:sz w:val="24"/>
        </w:rPr>
      </w:pPr>
      <w:r>
        <w:rPr>
          <w:sz w:val="24"/>
        </w:rPr>
        <w:t>It guarantees certain cash payments to NPCo/Sierra out of the proceeds from the asset sale.</w:t>
      </w:r>
    </w:p>
    <w:p>
      <w:pPr>
        <w:pStyle w:val="Normal"/>
        <w:numPr>
          <w:ilvl w:val="2"/>
          <w:numId w:val="1"/>
        </w:numPr>
        <w:rPr>
          <w:sz w:val="24"/>
        </w:rPr>
      </w:pPr>
      <w:r>
        <w:rPr>
          <w:sz w:val="24"/>
        </w:rPr>
        <w:t xml:space="preserve">It provides for open access pursuant to a clear schedule.  NPCo/Sierra will lose their interest in expediting the sale of their plants if NPCo/Sierra continue to have load risk.  </w:t>
      </w:r>
    </w:p>
    <w:p>
      <w:pPr>
        <w:pStyle w:val="Normal"/>
        <w:rPr>
          <w:sz w:val="24"/>
        </w:rPr>
      </w:pPr>
      <w:r>
        <w:rPr>
          <w:sz w:val="24"/>
        </w:rPr>
      </w:r>
    </w:p>
    <w:p>
      <w:pPr>
        <w:pStyle w:val="Normal"/>
        <w:numPr>
          <w:ilvl w:val="0"/>
          <w:numId w:val="1"/>
        </w:numPr>
        <w:rPr>
          <w:sz w:val="24"/>
        </w:rPr>
      </w:pPr>
      <w:r>
        <w:rPr>
          <w:sz w:val="24"/>
        </w:rPr>
        <w:t>Political Environment</w:t>
      </w:r>
    </w:p>
    <w:p>
      <w:pPr>
        <w:pStyle w:val="Normal"/>
        <w:numPr>
          <w:ilvl w:val="1"/>
          <w:numId w:val="1"/>
        </w:numPr>
        <w:rPr>
          <w:sz w:val="24"/>
        </w:rPr>
      </w:pPr>
      <w:r>
        <w:rPr>
          <w:sz w:val="24"/>
        </w:rPr>
        <w:t>Governor Guinn is generally supportive of restructuring.</w:t>
      </w:r>
    </w:p>
    <w:p>
      <w:pPr>
        <w:pStyle w:val="Normal"/>
        <w:numPr>
          <w:ilvl w:val="1"/>
          <w:numId w:val="1"/>
        </w:numPr>
        <w:rPr>
          <w:sz w:val="24"/>
        </w:rPr>
      </w:pPr>
      <w:r>
        <w:rPr>
          <w:sz w:val="24"/>
        </w:rPr>
        <w:t>However, the Democratic leadership in Nevada is challenging the global settlement.  They are focusing on:</w:t>
      </w:r>
    </w:p>
    <w:p>
      <w:pPr>
        <w:pStyle w:val="Normal"/>
        <w:numPr>
          <w:ilvl w:val="2"/>
          <w:numId w:val="1"/>
        </w:numPr>
        <w:rPr>
          <w:sz w:val="24"/>
        </w:rPr>
      </w:pPr>
      <w:r>
        <w:rPr>
          <w:sz w:val="24"/>
        </w:rPr>
        <w:t>The monthly power purchase riders, which they argue violates the statutory rate freeze; and</w:t>
      </w:r>
    </w:p>
    <w:p>
      <w:pPr>
        <w:pStyle w:val="Normal"/>
        <w:numPr>
          <w:ilvl w:val="2"/>
          <w:numId w:val="1"/>
        </w:numPr>
        <w:rPr>
          <w:sz w:val="24"/>
        </w:rPr>
      </w:pPr>
      <w:r>
        <w:rPr>
          <w:sz w:val="24"/>
        </w:rPr>
        <w:t>Whether restructuring should occur in Nevada, given the experience in California.</w:t>
      </w:r>
    </w:p>
    <w:p>
      <w:pPr>
        <w:pStyle w:val="Normal"/>
        <w:numPr>
          <w:ilvl w:val="1"/>
          <w:numId w:val="1"/>
        </w:numPr>
        <w:rPr>
          <w:sz w:val="24"/>
        </w:rPr>
      </w:pPr>
      <w:r>
        <w:rPr>
          <w:sz w:val="24"/>
        </w:rPr>
        <w:t xml:space="preserve">On October 4, Governor Guinn held a press conference.  He announced that he intended to delay the date for opening the market until as late as September 1, 2001.  He also announced the formation of a bipartisan panel to consider restructuring in advance of the 2001 legislative session. </w:t>
      </w:r>
    </w:p>
    <w:p>
      <w:pPr>
        <w:pStyle w:val="Normal"/>
        <w:numPr>
          <w:ilvl w:val="1"/>
          <w:numId w:val="1"/>
        </w:numPr>
        <w:rPr>
          <w:sz w:val="24"/>
        </w:rPr>
      </w:pPr>
      <w:r>
        <w:rPr>
          <w:sz w:val="24"/>
        </w:rPr>
        <w:t xml:space="preserve">During the press conference, the Governor expressed his support for the global settlement and urged the parties to stay with the agreement.  </w:t>
      </w:r>
    </w:p>
    <w:p>
      <w:pPr>
        <w:pStyle w:val="Normal"/>
        <w:numPr>
          <w:ilvl w:val="1"/>
          <w:numId w:val="1"/>
        </w:numPr>
        <w:rPr>
          <w:sz w:val="24"/>
        </w:rPr>
      </w:pPr>
      <w:r>
        <w:rPr>
          <w:sz w:val="24"/>
        </w:rPr>
        <w:t xml:space="preserve">Notwithstanding the announcement, the Democratic leadership has committed to raising restructuring as a key issue for 2001.  In addition, numerous rumors of  litigation challenging the settlements are circulating.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lvl w:ilvl="1">
      <w:start w:val="1"/>
      <w:numFmt w:val="decimal"/>
      <w:lvlText w:val="%1.%2."/>
      <w:lvlJc w:val="start"/>
      <w:pPr>
        <w:tabs>
          <w:tab w:val="num" w:pos="792"/>
        </w:tabs>
        <w:ind w:start="792" w:hanging="432"/>
      </w:pPr>
    </w:lvl>
    <w:lvl w:ilvl="2">
      <w:start w:val="1"/>
      <w:numFmt w:val="decimal"/>
      <w:lvlText w:val="%1.%2.%3."/>
      <w:lvlJc w:val="start"/>
      <w:pPr>
        <w:tabs>
          <w:tab w:val="num" w:pos="1440"/>
        </w:tabs>
        <w:ind w:start="1224" w:hanging="504"/>
      </w:pPr>
    </w:lvl>
    <w:lvl w:ilvl="3">
      <w:start w:val="1"/>
      <w:numFmt w:val="decimal"/>
      <w:lvlText w:val="%1.%2.%3.%4."/>
      <w:lvlJc w:val="start"/>
      <w:pPr>
        <w:tabs>
          <w:tab w:val="num" w:pos="1800"/>
        </w:tabs>
        <w:ind w:start="1728" w:hanging="648"/>
      </w:pPr>
    </w:lvl>
    <w:lvl w:ilvl="4">
      <w:start w:val="1"/>
      <w:numFmt w:val="decimal"/>
      <w:lvlText w:val="%1.%2.%3.%4.%5."/>
      <w:lvlJc w:val="start"/>
      <w:pPr>
        <w:tabs>
          <w:tab w:val="num" w:pos="2520"/>
        </w:tabs>
        <w:ind w:start="2232" w:hanging="792"/>
      </w:pPr>
    </w:lvl>
    <w:lvl w:ilvl="5">
      <w:start w:val="1"/>
      <w:numFmt w:val="decimal"/>
      <w:lvlText w:val="%1.%2.%3.%4.%5.%6."/>
      <w:lvlJc w:val="start"/>
      <w:pPr>
        <w:tabs>
          <w:tab w:val="num" w:pos="288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2">
    <w:lvl w:ilvl="0">
      <w:start w:val="1"/>
      <w:numFmt w:val="decimal"/>
      <w:lvlText w:val="%1."/>
      <w:lvlJc w:val="start"/>
      <w:pPr>
        <w:tabs>
          <w:tab w:val="num" w:pos="360"/>
        </w:tabs>
        <w:ind w:start="360" w:hanging="360"/>
      </w:pPr>
    </w:lvl>
    <w:lvl w:ilvl="1">
      <w:start w:val="1"/>
      <w:numFmt w:val="decimal"/>
      <w:lvlText w:val="%1.%2."/>
      <w:lvlJc w:val="start"/>
      <w:pPr>
        <w:tabs>
          <w:tab w:val="num" w:pos="792"/>
        </w:tabs>
        <w:ind w:start="792" w:hanging="432"/>
      </w:pPr>
    </w:lvl>
    <w:lvl w:ilvl="2">
      <w:start w:val="1"/>
      <w:numFmt w:val="decimal"/>
      <w:lvlText w:val="%1.%2.%3."/>
      <w:lvlJc w:val="start"/>
      <w:pPr>
        <w:tabs>
          <w:tab w:val="num" w:pos="1440"/>
        </w:tabs>
        <w:ind w:start="1224" w:hanging="504"/>
      </w:pPr>
    </w:lvl>
    <w:lvl w:ilvl="3">
      <w:start w:val="1"/>
      <w:numFmt w:val="decimal"/>
      <w:lvlText w:val="%1.%2.%3.%4."/>
      <w:lvlJc w:val="start"/>
      <w:pPr>
        <w:tabs>
          <w:tab w:val="num" w:pos="1800"/>
        </w:tabs>
        <w:ind w:start="1728" w:hanging="648"/>
      </w:pPr>
    </w:lvl>
    <w:lvl w:ilvl="4">
      <w:start w:val="1"/>
      <w:numFmt w:val="decimal"/>
      <w:lvlText w:val="%1.%2.%3.%4.%5."/>
      <w:lvlJc w:val="start"/>
      <w:pPr>
        <w:tabs>
          <w:tab w:val="num" w:pos="2520"/>
        </w:tabs>
        <w:ind w:start="2232" w:hanging="792"/>
      </w:pPr>
    </w:lvl>
    <w:lvl w:ilvl="5">
      <w:start w:val="1"/>
      <w:numFmt w:val="decimal"/>
      <w:lvlText w:val="%1.%2.%3.%4.%5.%6."/>
      <w:lvlJc w:val="start"/>
      <w:pPr>
        <w:tabs>
          <w:tab w:val="num" w:pos="288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2000-10-13T09:31:00Z</dcterms:created>
  <dc:creator>pkaufma</dc:creator>
  <dc:description/>
  <dc:language>en-CA</dc:language>
  <cp:lastModifiedBy>pkaufma</cp:lastModifiedBy>
  <dcterms:modified xsi:type="dcterms:W3CDTF">2000-10-13T09:31:00Z</dcterms:modified>
  <cp:revision>2</cp:revision>
  <dc:subject/>
  <dc:title>Message Points for Discussion with Governor Guinn</dc:title>
</cp:coreProperties>
</file>