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INDEX</w:t>
      </w:r>
    </w:p>
    <w:p>
      <w:pPr>
        <w:pStyle w:val="Normal"/>
        <w:jc w:val="end"/>
        <w:rPr>
          <w:b/>
          <w:bCs/>
        </w:rPr>
      </w:pPr>
      <w:r>
        <w:rPr>
          <w:b/>
          <w:bCs/>
        </w:rPr>
        <w:t>Page #</w:t>
      </w:r>
    </w:p>
    <w:p>
      <w:pPr>
        <w:pStyle w:val="Normal"/>
        <w:rPr>
          <w:b/>
          <w:bCs/>
        </w:rPr>
      </w:pPr>
      <w:r>
        <w:rPr>
          <w:b/>
          <w:bCs/>
        </w:rPr>
      </w:r>
    </w:p>
    <w:sdt>
      <w:sdtPr>
        <w:docPartObj>
          <w:docPartGallery w:val="Table of Contents"/>
          <w:docPartUnique w:val="true"/>
        </w:docPartObj>
      </w:sdtPr>
      <w:sdtContent>
        <w:p>
          <w:pPr>
            <w:pStyle w:val="TOC1"/>
            <w:tabs>
              <w:tab w:val="left" w:pos="720" w:leader="none"/>
              <w:tab w:val="right" w:pos="9350" w:leader="dot"/>
            </w:tabs>
            <w:rPr>
              <w:lang w:val="en-CA"/>
            </w:rPr>
          </w:pPr>
          <w:r>
            <w:fldChar w:fldCharType="begin"/>
          </w:r>
          <w:r>
            <w:rPr>
              <w:lang w:val="en-CA"/>
            </w:rPr>
            <w:instrText xml:space="preserve"> TOC \f </w:instrText>
          </w:r>
          <w:r>
            <w:rPr>
              <w:lang w:val="en-CA"/>
            </w:rPr>
            <w:fldChar w:fldCharType="separate"/>
          </w:r>
          <w:r>
            <w:rPr>
              <w:lang w:val="en-CA"/>
            </w:rPr>
            <w:t>I.</w:t>
            <w:tab/>
            <w:t>NERC Criteria</w:t>
            <w:tab/>
          </w:r>
          <w:hyperlink w:anchor="__RefHeading___Toc473367241">
            <w:r>
              <w:rPr>
                <w:rStyle w:val="IndexLink"/>
                <w:lang w:val="en-CA"/>
              </w:rPr>
              <w:t>1</w:t>
            </w:r>
          </w:hyperlink>
        </w:p>
        <w:p>
          <w:pPr>
            <w:pStyle w:val="TOC2"/>
            <w:tabs>
              <w:tab w:val="left" w:pos="720" w:leader="none"/>
              <w:tab w:val="right" w:pos="9350" w:leader="dot"/>
            </w:tabs>
            <w:rPr>
              <w:lang w:val="en-CA"/>
            </w:rPr>
          </w:pPr>
          <w:r>
            <w:rPr>
              <w:lang w:val="en-CA"/>
            </w:rPr>
            <w:t>A.</w:t>
            <w:tab/>
            <w:t>Operating Reserve</w:t>
            <w:tab/>
          </w:r>
          <w:hyperlink w:anchor="__RefHeading___Toc473367242">
            <w:r>
              <w:rPr>
                <w:rStyle w:val="IndexLink"/>
                <w:lang w:val="en-CA"/>
              </w:rPr>
              <w:t>1</w:t>
            </w:r>
          </w:hyperlink>
        </w:p>
        <w:p>
          <w:pPr>
            <w:pStyle w:val="TOC2"/>
            <w:tabs>
              <w:tab w:val="left" w:pos="720" w:leader="none"/>
              <w:tab w:val="right" w:pos="9350" w:leader="dot"/>
            </w:tabs>
            <w:rPr>
              <w:lang w:val="en-CA"/>
            </w:rPr>
          </w:pPr>
          <w:r>
            <w:rPr>
              <w:lang w:val="en-CA"/>
            </w:rPr>
            <w:t>B.</w:t>
            <w:tab/>
            <w:t>Planning Reserve</w:t>
            <w:tab/>
          </w:r>
          <w:hyperlink w:anchor="__RefHeading___Toc473367243">
            <w:r>
              <w:rPr>
                <w:rStyle w:val="IndexLink"/>
                <w:lang w:val="en-CA"/>
              </w:rPr>
              <w:t>3</w:t>
            </w:r>
          </w:hyperlink>
        </w:p>
        <w:p>
          <w:pPr>
            <w:pStyle w:val="TOC1"/>
            <w:tabs>
              <w:tab w:val="left" w:pos="720" w:leader="none"/>
              <w:tab w:val="right" w:pos="9350" w:leader="dot"/>
            </w:tabs>
            <w:rPr>
              <w:lang w:val="en-CA"/>
            </w:rPr>
          </w:pPr>
          <w:r>
            <w:rPr>
              <w:lang w:val="en-CA"/>
            </w:rPr>
            <w:t>II.</w:t>
            <w:tab/>
            <w:t>NERC Regions</w:t>
            <w:tab/>
          </w:r>
          <w:hyperlink w:anchor="__RefHeading___Toc473367244">
            <w:r>
              <w:rPr>
                <w:rStyle w:val="IndexLink"/>
                <w:lang w:val="en-CA"/>
              </w:rPr>
              <w:t>4</w:t>
            </w:r>
          </w:hyperlink>
        </w:p>
        <w:p>
          <w:pPr>
            <w:pStyle w:val="TOC2"/>
            <w:tabs>
              <w:tab w:val="left" w:pos="720" w:leader="none"/>
              <w:tab w:val="right" w:pos="9350" w:leader="dot"/>
            </w:tabs>
            <w:rPr>
              <w:lang w:val="en-CA"/>
            </w:rPr>
          </w:pPr>
          <w:r>
            <w:rPr>
              <w:lang w:val="en-CA"/>
            </w:rPr>
            <w:t>A.</w:t>
            <w:tab/>
          </w:r>
          <w:r>
            <w:rPr>
              <w:u w:val="single"/>
              <w:lang w:val="en-CA"/>
            </w:rPr>
            <w:t>Western System Coordinating Council</w:t>
          </w:r>
          <w:r>
            <w:rPr>
              <w:lang w:val="en-CA"/>
            </w:rPr>
            <w:t xml:space="preserve"> (“</w:t>
          </w:r>
          <w:r>
            <w:rPr>
              <w:u w:val="single"/>
              <w:lang w:val="en-CA"/>
            </w:rPr>
            <w:t>WSCC</w:t>
          </w:r>
          <w:r>
            <w:rPr>
              <w:lang w:val="en-CA"/>
            </w:rPr>
            <w:t>”)</w:t>
            <w:tab/>
          </w:r>
          <w:hyperlink w:anchor="__RefHeading___Toc473367245">
            <w:r>
              <w:rPr>
                <w:rStyle w:val="IndexLink"/>
                <w:lang w:val="en-CA"/>
              </w:rPr>
              <w:t>4</w:t>
            </w:r>
          </w:hyperlink>
        </w:p>
        <w:p>
          <w:pPr>
            <w:pStyle w:val="TOC3"/>
            <w:tabs>
              <w:tab w:val="clear" w:pos="720"/>
              <w:tab w:val="left" w:pos="1440" w:leader="none"/>
              <w:tab w:val="right" w:pos="9350" w:leader="dot"/>
            </w:tabs>
            <w:rPr>
              <w:lang w:val="en-CA"/>
            </w:rPr>
          </w:pPr>
          <w:r>
            <w:rPr>
              <w:lang w:val="en-CA"/>
            </w:rPr>
            <w:t>1.</w:t>
            <w:tab/>
            <w:t>Operating Reserve</w:t>
            <w:tab/>
          </w:r>
          <w:hyperlink w:anchor="__RefHeading___Toc473367246">
            <w:r>
              <w:rPr>
                <w:rStyle w:val="IndexLink"/>
                <w:lang w:val="en-CA"/>
              </w:rPr>
              <w:t>4</w:t>
            </w:r>
          </w:hyperlink>
        </w:p>
        <w:p>
          <w:pPr>
            <w:pStyle w:val="TOC3"/>
            <w:tabs>
              <w:tab w:val="clear" w:pos="720"/>
              <w:tab w:val="left" w:pos="1440" w:leader="none"/>
              <w:tab w:val="right" w:pos="9350" w:leader="dot"/>
            </w:tabs>
            <w:rPr>
              <w:lang w:val="en-CA"/>
            </w:rPr>
          </w:pPr>
          <w:r>
            <w:rPr>
              <w:lang w:val="en-CA"/>
            </w:rPr>
            <w:t>2.</w:t>
            <w:tab/>
            <w:t>Planning Reserve</w:t>
            <w:tab/>
          </w:r>
          <w:hyperlink w:anchor="__RefHeading___Toc473367247">
            <w:r>
              <w:rPr>
                <w:rStyle w:val="IndexLink"/>
                <w:lang w:val="en-CA"/>
              </w:rPr>
              <w:t>7</w:t>
            </w:r>
          </w:hyperlink>
        </w:p>
        <w:p>
          <w:pPr>
            <w:pStyle w:val="TOC2"/>
            <w:tabs>
              <w:tab w:val="left" w:pos="720" w:leader="none"/>
              <w:tab w:val="right" w:pos="9350" w:leader="dot"/>
            </w:tabs>
            <w:rPr>
              <w:lang w:val="en-CA"/>
            </w:rPr>
          </w:pPr>
          <w:r>
            <w:rPr>
              <w:lang w:val="en-CA"/>
            </w:rPr>
            <w:t>B.</w:t>
            <w:tab/>
          </w:r>
          <w:r>
            <w:rPr>
              <w:u w:val="single"/>
              <w:lang w:val="en-CA"/>
            </w:rPr>
            <w:t>Mid-America Interconnected Network</w:t>
          </w:r>
          <w:r>
            <w:rPr>
              <w:lang w:val="en-CA"/>
            </w:rPr>
            <w:t xml:space="preserve"> (“</w:t>
          </w:r>
          <w:r>
            <w:rPr>
              <w:u w:val="single"/>
              <w:lang w:val="en-CA"/>
            </w:rPr>
            <w:t>MAIN</w:t>
          </w:r>
          <w:r>
            <w:rPr>
              <w:lang w:val="en-CA"/>
            </w:rPr>
            <w:t>”)</w:t>
            <w:tab/>
          </w:r>
          <w:hyperlink w:anchor="__RefHeading___Toc473367248">
            <w:r>
              <w:rPr>
                <w:rStyle w:val="IndexLink"/>
                <w:lang w:val="en-CA"/>
              </w:rPr>
              <w:t>8</w:t>
            </w:r>
          </w:hyperlink>
        </w:p>
        <w:p>
          <w:pPr>
            <w:pStyle w:val="TOC3"/>
            <w:tabs>
              <w:tab w:val="clear" w:pos="720"/>
              <w:tab w:val="left" w:pos="1440" w:leader="none"/>
              <w:tab w:val="right" w:pos="9350" w:leader="dot"/>
            </w:tabs>
            <w:rPr>
              <w:lang w:val="en-CA"/>
            </w:rPr>
          </w:pPr>
          <w:r>
            <w:rPr>
              <w:lang w:val="en-CA"/>
            </w:rPr>
            <w:t>1.</w:t>
            <w:tab/>
            <w:t>Operating Reserve</w:t>
            <w:tab/>
          </w:r>
          <w:hyperlink w:anchor="__RefHeading___Toc473367249">
            <w:r>
              <w:rPr>
                <w:rStyle w:val="IndexLink"/>
                <w:lang w:val="en-CA"/>
              </w:rPr>
              <w:t>8</w:t>
            </w:r>
          </w:hyperlink>
        </w:p>
        <w:p>
          <w:pPr>
            <w:pStyle w:val="TOC3"/>
            <w:tabs>
              <w:tab w:val="clear" w:pos="720"/>
              <w:tab w:val="left" w:pos="1440" w:leader="none"/>
              <w:tab w:val="right" w:pos="9350" w:leader="dot"/>
            </w:tabs>
            <w:rPr>
              <w:lang w:val="en-CA"/>
            </w:rPr>
          </w:pPr>
          <w:r>
            <w:rPr>
              <w:lang w:val="en-CA"/>
            </w:rPr>
            <w:t>2.</w:t>
            <w:tab/>
            <w:t>Planning Reserve</w:t>
            <w:tab/>
          </w:r>
          <w:hyperlink w:anchor="__RefHeading___Toc473367250">
            <w:r>
              <w:rPr>
                <w:rStyle w:val="IndexLink"/>
                <w:lang w:val="en-CA"/>
              </w:rPr>
              <w:t>9</w:t>
            </w:r>
          </w:hyperlink>
        </w:p>
        <w:p>
          <w:pPr>
            <w:pStyle w:val="TOC2"/>
            <w:tabs>
              <w:tab w:val="left" w:pos="720" w:leader="none"/>
              <w:tab w:val="right" w:pos="9350" w:leader="dot"/>
            </w:tabs>
            <w:rPr>
              <w:lang w:val="en-CA"/>
            </w:rPr>
          </w:pPr>
          <w:r>
            <w:rPr>
              <w:lang w:val="en-CA"/>
            </w:rPr>
            <w:t>C.</w:t>
            <w:tab/>
          </w:r>
          <w:r>
            <w:rPr>
              <w:u w:val="single"/>
              <w:lang w:val="en-CA"/>
            </w:rPr>
            <w:t>Electric Reliability Council of Texas, Inc.</w:t>
          </w:r>
          <w:r>
            <w:rPr>
              <w:lang w:val="en-CA"/>
            </w:rPr>
            <w:t xml:space="preserve"> (“</w:t>
          </w:r>
          <w:r>
            <w:rPr>
              <w:u w:val="single"/>
              <w:lang w:val="en-CA"/>
            </w:rPr>
            <w:t>ERCOT</w:t>
          </w:r>
          <w:r>
            <w:rPr>
              <w:lang w:val="en-CA"/>
            </w:rPr>
            <w:t>”)</w:t>
            <w:tab/>
          </w:r>
          <w:hyperlink w:anchor="__RefHeading___Toc473367251">
            <w:r>
              <w:rPr>
                <w:rStyle w:val="IndexLink"/>
                <w:lang w:val="en-CA"/>
              </w:rPr>
              <w:t>10</w:t>
            </w:r>
          </w:hyperlink>
        </w:p>
        <w:p>
          <w:pPr>
            <w:pStyle w:val="TOC3"/>
            <w:tabs>
              <w:tab w:val="clear" w:pos="720"/>
              <w:tab w:val="left" w:pos="1440" w:leader="none"/>
              <w:tab w:val="right" w:pos="9350" w:leader="dot"/>
            </w:tabs>
            <w:rPr>
              <w:lang w:val="en-CA"/>
            </w:rPr>
          </w:pPr>
          <w:r>
            <w:rPr>
              <w:lang w:val="en-CA"/>
            </w:rPr>
            <w:t>1.</w:t>
            <w:tab/>
            <w:t>Operating Reserve</w:t>
            <w:tab/>
          </w:r>
          <w:hyperlink w:anchor="__RefHeading___Toc473367252">
            <w:r>
              <w:rPr>
                <w:rStyle w:val="IndexLink"/>
                <w:lang w:val="en-CA"/>
              </w:rPr>
              <w:t>10</w:t>
            </w:r>
          </w:hyperlink>
        </w:p>
        <w:p>
          <w:pPr>
            <w:pStyle w:val="TOC3"/>
            <w:tabs>
              <w:tab w:val="clear" w:pos="720"/>
              <w:tab w:val="left" w:pos="1440" w:leader="none"/>
              <w:tab w:val="right" w:pos="9350" w:leader="dot"/>
            </w:tabs>
            <w:rPr>
              <w:lang w:val="en-CA"/>
            </w:rPr>
          </w:pPr>
          <w:r>
            <w:rPr>
              <w:lang w:val="en-CA"/>
            </w:rPr>
            <w:t>2.</w:t>
            <w:tab/>
            <w:t>Planning Reserve</w:t>
            <w:tab/>
          </w:r>
          <w:hyperlink w:anchor="__RefHeading___Toc473367253">
            <w:r>
              <w:rPr>
                <w:rStyle w:val="IndexLink"/>
                <w:lang w:val="en-CA"/>
              </w:rPr>
              <w:t>11</w:t>
            </w:r>
          </w:hyperlink>
        </w:p>
        <w:p>
          <w:pPr>
            <w:pStyle w:val="TOC2"/>
            <w:tabs>
              <w:tab w:val="left" w:pos="720" w:leader="none"/>
              <w:tab w:val="right" w:pos="9350" w:leader="dot"/>
            </w:tabs>
            <w:rPr>
              <w:lang w:val="en-CA"/>
            </w:rPr>
          </w:pPr>
          <w:r>
            <w:rPr>
              <w:lang w:val="en-CA"/>
            </w:rPr>
            <w:t>D.</w:t>
            <w:tab/>
          </w:r>
          <w:r>
            <w:rPr>
              <w:u w:val="single"/>
              <w:lang w:val="en-CA"/>
            </w:rPr>
            <w:t>East Central Area Reliability Coordination Agreement Region</w:t>
          </w:r>
          <w:r>
            <w:rPr>
              <w:b/>
              <w:bCs/>
              <w:lang w:val="en-CA"/>
            </w:rPr>
            <w:t xml:space="preserve"> </w:t>
          </w:r>
          <w:r>
            <w:rPr>
              <w:lang w:val="en-CA"/>
            </w:rPr>
            <w:t>(“</w:t>
          </w:r>
          <w:r>
            <w:rPr>
              <w:u w:val="single"/>
              <w:lang w:val="en-CA"/>
            </w:rPr>
            <w:t>ECAR</w:t>
          </w:r>
          <w:r>
            <w:rPr>
              <w:lang w:val="en-CA"/>
            </w:rPr>
            <w:t>”)</w:t>
            <w:tab/>
          </w:r>
          <w:hyperlink w:anchor="__RefHeading___Toc473367254">
            <w:r>
              <w:rPr>
                <w:rStyle w:val="IndexLink"/>
                <w:lang w:val="en-CA"/>
              </w:rPr>
              <w:t>11</w:t>
            </w:r>
          </w:hyperlink>
        </w:p>
        <w:p>
          <w:pPr>
            <w:pStyle w:val="TOC3"/>
            <w:tabs>
              <w:tab w:val="clear" w:pos="720"/>
              <w:tab w:val="left" w:pos="1440" w:leader="none"/>
              <w:tab w:val="right" w:pos="9350" w:leader="dot"/>
            </w:tabs>
            <w:rPr>
              <w:lang w:val="en-CA"/>
            </w:rPr>
          </w:pPr>
          <w:r>
            <w:rPr>
              <w:lang w:val="en-CA"/>
            </w:rPr>
            <w:t>1.</w:t>
            <w:tab/>
            <w:t>Operating Reserve</w:t>
            <w:tab/>
          </w:r>
          <w:hyperlink w:anchor="__RefHeading___Toc473367255">
            <w:r>
              <w:rPr>
                <w:rStyle w:val="IndexLink"/>
                <w:lang w:val="en-CA"/>
              </w:rPr>
              <w:t>11</w:t>
            </w:r>
          </w:hyperlink>
        </w:p>
        <w:p>
          <w:pPr>
            <w:pStyle w:val="TOC3"/>
            <w:tabs>
              <w:tab w:val="clear" w:pos="720"/>
              <w:tab w:val="left" w:pos="1440" w:leader="none"/>
              <w:tab w:val="right" w:pos="9350" w:leader="dot"/>
            </w:tabs>
            <w:rPr>
              <w:lang w:val="en-CA"/>
            </w:rPr>
          </w:pPr>
          <w:r>
            <w:rPr>
              <w:lang w:val="en-CA"/>
            </w:rPr>
            <w:t>2.</w:t>
            <w:tab/>
            <w:t>Planning Reserve</w:t>
            <w:tab/>
          </w:r>
          <w:hyperlink w:anchor="__RefHeading___Toc473367256">
            <w:r>
              <w:rPr>
                <w:rStyle w:val="IndexLink"/>
                <w:lang w:val="en-CA"/>
              </w:rPr>
              <w:t>14</w:t>
            </w:r>
          </w:hyperlink>
        </w:p>
        <w:p>
          <w:pPr>
            <w:pStyle w:val="TOC2"/>
            <w:tabs>
              <w:tab w:val="left" w:pos="720" w:leader="none"/>
              <w:tab w:val="right" w:pos="9350" w:leader="dot"/>
            </w:tabs>
            <w:rPr>
              <w:lang w:val="en-CA"/>
            </w:rPr>
          </w:pPr>
          <w:r>
            <w:rPr>
              <w:lang w:val="en-CA"/>
            </w:rPr>
            <w:t>E.</w:t>
            <w:tab/>
          </w:r>
          <w:r>
            <w:rPr>
              <w:u w:val="single"/>
              <w:lang w:val="en-CA"/>
            </w:rPr>
            <w:t>Northeast Power Coordinating Council</w:t>
          </w:r>
          <w:r>
            <w:rPr>
              <w:lang w:val="en-CA"/>
            </w:rPr>
            <w:t xml:space="preserve"> (“NPCC”)</w:t>
            <w:tab/>
          </w:r>
          <w:hyperlink w:anchor="__RefHeading___Toc473367257">
            <w:r>
              <w:rPr>
                <w:rStyle w:val="IndexLink"/>
                <w:lang w:val="en-CA"/>
              </w:rPr>
              <w:t>14</w:t>
            </w:r>
          </w:hyperlink>
        </w:p>
        <w:p>
          <w:pPr>
            <w:pStyle w:val="TOC3"/>
            <w:tabs>
              <w:tab w:val="clear" w:pos="720"/>
              <w:tab w:val="left" w:pos="1440" w:leader="none"/>
              <w:tab w:val="right" w:pos="9350" w:leader="dot"/>
            </w:tabs>
            <w:rPr>
              <w:lang w:val="en-CA"/>
            </w:rPr>
          </w:pPr>
          <w:r>
            <w:rPr>
              <w:lang w:val="en-CA"/>
            </w:rPr>
            <w:t>1.</w:t>
            <w:tab/>
            <w:t>Operating Reserve</w:t>
            <w:tab/>
          </w:r>
          <w:hyperlink w:anchor="__RefHeading___Toc473367258">
            <w:r>
              <w:rPr>
                <w:rStyle w:val="IndexLink"/>
                <w:lang w:val="en-CA"/>
              </w:rPr>
              <w:t>14</w:t>
            </w:r>
          </w:hyperlink>
        </w:p>
        <w:p>
          <w:pPr>
            <w:pStyle w:val="TOC3"/>
            <w:tabs>
              <w:tab w:val="clear" w:pos="720"/>
              <w:tab w:val="left" w:pos="1440" w:leader="none"/>
              <w:tab w:val="right" w:pos="9350" w:leader="dot"/>
            </w:tabs>
            <w:rPr>
              <w:lang w:val="en-CA"/>
            </w:rPr>
          </w:pPr>
          <w:r>
            <w:rPr>
              <w:lang w:val="en-CA"/>
            </w:rPr>
            <w:t>2.</w:t>
            <w:tab/>
            <w:t>Firm Demand</w:t>
            <w:tab/>
          </w:r>
          <w:hyperlink w:anchor="__RefHeading___Toc473367259">
            <w:r>
              <w:rPr>
                <w:rStyle w:val="IndexLink"/>
                <w:lang w:val="en-CA"/>
              </w:rPr>
              <w:t>16</w:t>
            </w:r>
          </w:hyperlink>
        </w:p>
        <w:p>
          <w:pPr>
            <w:pStyle w:val="TOC2"/>
            <w:tabs>
              <w:tab w:val="left" w:pos="720" w:leader="none"/>
              <w:tab w:val="right" w:pos="9350" w:leader="dot"/>
            </w:tabs>
            <w:rPr>
              <w:lang w:val="en-CA"/>
            </w:rPr>
          </w:pPr>
          <w:r>
            <w:rPr>
              <w:lang w:val="en-CA"/>
            </w:rPr>
            <w:t>F.</w:t>
            <w:tab/>
          </w:r>
          <w:r>
            <w:rPr>
              <w:u w:val="single"/>
              <w:lang w:val="en-CA"/>
            </w:rPr>
            <w:t>Mid-Atlantic Area Council</w:t>
          </w:r>
          <w:r>
            <w:rPr>
              <w:lang w:val="en-CA"/>
            </w:rPr>
            <w:t xml:space="preserve"> (“</w:t>
          </w:r>
          <w:r>
            <w:rPr>
              <w:u w:val="single"/>
              <w:lang w:val="en-CA"/>
            </w:rPr>
            <w:t>MAAC</w:t>
          </w:r>
          <w:r>
            <w:rPr>
              <w:lang w:val="en-CA"/>
            </w:rPr>
            <w:t>”)/</w:t>
          </w:r>
          <w:r>
            <w:rPr>
              <w:u w:val="single"/>
              <w:lang w:val="en-CA"/>
            </w:rPr>
            <w:t>PJM Interconnection, L.L.C.</w:t>
          </w:r>
          <w:r>
            <w:rPr>
              <w:lang w:val="en-CA"/>
            </w:rPr>
            <w:t xml:space="preserve"> (“</w:t>
          </w:r>
          <w:r>
            <w:rPr>
              <w:u w:val="single"/>
              <w:lang w:val="en-CA"/>
            </w:rPr>
            <w:t>PJM</w:t>
          </w:r>
          <w:r>
            <w:rPr>
              <w:lang w:val="en-CA"/>
            </w:rPr>
            <w:t>”)</w:t>
            <w:tab/>
          </w:r>
          <w:hyperlink w:anchor="__RefHeading___Toc473367260">
            <w:r>
              <w:rPr>
                <w:rStyle w:val="IndexLink"/>
                <w:lang w:val="en-CA"/>
              </w:rPr>
              <w:t>16</w:t>
            </w:r>
          </w:hyperlink>
        </w:p>
        <w:p>
          <w:pPr>
            <w:pStyle w:val="TOC3"/>
            <w:tabs>
              <w:tab w:val="clear" w:pos="720"/>
              <w:tab w:val="left" w:pos="1440" w:leader="none"/>
              <w:tab w:val="right" w:pos="9350" w:leader="dot"/>
            </w:tabs>
            <w:rPr>
              <w:lang w:val="en-CA"/>
            </w:rPr>
          </w:pPr>
          <w:r>
            <w:rPr>
              <w:lang w:val="en-CA"/>
            </w:rPr>
            <w:t>1.</w:t>
            <w:tab/>
            <w:t>Operating Reserve</w:t>
            <w:tab/>
          </w:r>
          <w:hyperlink w:anchor="__RefHeading___Toc473367261">
            <w:r>
              <w:rPr>
                <w:rStyle w:val="IndexLink"/>
                <w:lang w:val="en-CA"/>
              </w:rPr>
              <w:t>16</w:t>
            </w:r>
          </w:hyperlink>
        </w:p>
        <w:p>
          <w:pPr>
            <w:pStyle w:val="TOC3"/>
            <w:tabs>
              <w:tab w:val="clear" w:pos="720"/>
              <w:tab w:val="left" w:pos="1440" w:leader="none"/>
              <w:tab w:val="right" w:pos="9350" w:leader="dot"/>
            </w:tabs>
            <w:rPr>
              <w:lang w:val="en-CA"/>
            </w:rPr>
          </w:pPr>
          <w:r>
            <w:rPr>
              <w:lang w:val="en-CA"/>
            </w:rPr>
            <w:t>2.</w:t>
            <w:tab/>
            <w:t>Planning Reserves</w:t>
            <w:tab/>
          </w:r>
          <w:hyperlink w:anchor="__RefHeading___Toc473367262">
            <w:r>
              <w:rPr>
                <w:rStyle w:val="IndexLink"/>
                <w:lang w:val="en-CA"/>
              </w:rPr>
              <w:t>17</w:t>
            </w:r>
          </w:hyperlink>
        </w:p>
        <w:p>
          <w:pPr>
            <w:pStyle w:val="TOC2"/>
            <w:tabs>
              <w:tab w:val="left" w:pos="720" w:leader="none"/>
              <w:tab w:val="right" w:pos="9350" w:leader="dot"/>
            </w:tabs>
            <w:rPr>
              <w:lang w:val="en-CA"/>
            </w:rPr>
          </w:pPr>
          <w:r>
            <w:rPr>
              <w:lang w:val="en-CA"/>
            </w:rPr>
            <w:t>G.</w:t>
            <w:tab/>
            <w:t>Mid-Continent Area Power Pool (“MAPP”)</w:t>
            <w:tab/>
          </w:r>
          <w:hyperlink w:anchor="__RefHeading___Toc473367263">
            <w:r>
              <w:rPr>
                <w:rStyle w:val="IndexLink"/>
                <w:lang w:val="en-CA"/>
              </w:rPr>
              <w:t>18</w:t>
            </w:r>
          </w:hyperlink>
        </w:p>
        <w:p>
          <w:pPr>
            <w:pStyle w:val="TOC3"/>
            <w:tabs>
              <w:tab w:val="clear" w:pos="720"/>
              <w:tab w:val="left" w:pos="1440" w:leader="none"/>
              <w:tab w:val="right" w:pos="9350" w:leader="dot"/>
            </w:tabs>
            <w:rPr>
              <w:lang w:val="en-CA"/>
            </w:rPr>
          </w:pPr>
          <w:r>
            <w:rPr>
              <w:lang w:val="en-CA"/>
            </w:rPr>
            <w:t>1.</w:t>
            <w:tab/>
            <w:t>Operating and Planning Reserves</w:t>
            <w:tab/>
          </w:r>
          <w:hyperlink w:anchor="__RefHeading___Toc473367264">
            <w:r>
              <w:rPr>
                <w:rStyle w:val="IndexLink"/>
                <w:lang w:val="en-CA"/>
              </w:rPr>
              <w:t>18</w:t>
            </w:r>
          </w:hyperlink>
        </w:p>
        <w:p>
          <w:pPr>
            <w:pStyle w:val="TOC2"/>
            <w:tabs>
              <w:tab w:val="left" w:pos="720" w:leader="none"/>
              <w:tab w:val="right" w:pos="9350" w:leader="dot"/>
            </w:tabs>
            <w:rPr>
              <w:lang w:val="en-CA"/>
            </w:rPr>
          </w:pPr>
          <w:r>
            <w:rPr>
              <w:lang w:val="en-CA"/>
            </w:rPr>
            <w:t>H.</w:t>
            <w:tab/>
            <w:t>Southwest Power Pool (“SPP”)</w:t>
            <w:tab/>
          </w:r>
          <w:hyperlink w:anchor="__RefHeading___Toc473367265">
            <w:r>
              <w:rPr>
                <w:rStyle w:val="IndexLink"/>
                <w:lang w:val="en-CA"/>
              </w:rPr>
              <w:t>19</w:t>
            </w:r>
          </w:hyperlink>
        </w:p>
        <w:p>
          <w:pPr>
            <w:pStyle w:val="TOC3"/>
            <w:tabs>
              <w:tab w:val="clear" w:pos="720"/>
              <w:tab w:val="left" w:pos="1440" w:leader="none"/>
              <w:tab w:val="right" w:pos="9350" w:leader="dot"/>
            </w:tabs>
            <w:rPr>
              <w:lang w:val="en-CA"/>
            </w:rPr>
          </w:pPr>
          <w:r>
            <w:rPr>
              <w:lang w:val="en-CA"/>
            </w:rPr>
            <w:t>1.</w:t>
            <w:tab/>
            <w:t>Operating Reserve</w:t>
            <w:tab/>
          </w:r>
          <w:hyperlink w:anchor="__RefHeading___Toc473367266">
            <w:r>
              <w:rPr>
                <w:rStyle w:val="IndexLink"/>
                <w:lang w:val="en-CA"/>
              </w:rPr>
              <w:t>19</w:t>
            </w:r>
          </w:hyperlink>
        </w:p>
        <w:p>
          <w:pPr>
            <w:pStyle w:val="TOC3"/>
            <w:tabs>
              <w:tab w:val="clear" w:pos="720"/>
              <w:tab w:val="left" w:pos="1440" w:leader="none"/>
              <w:tab w:val="right" w:pos="9350" w:leader="dot"/>
            </w:tabs>
            <w:rPr>
              <w:lang w:val="en-CA"/>
            </w:rPr>
          </w:pPr>
          <w:r>
            <w:rPr>
              <w:lang w:val="en-CA"/>
            </w:rPr>
            <w:t>3.</w:t>
            <w:tab/>
            <w:t>Firm Power</w:t>
            <w:tab/>
          </w:r>
          <w:hyperlink w:anchor="__RefHeading___Toc473367267">
            <w:r>
              <w:rPr>
                <w:rStyle w:val="IndexLink"/>
                <w:lang w:val="en-CA"/>
              </w:rPr>
              <w:t>22</w:t>
            </w:r>
          </w:hyperlink>
        </w:p>
        <w:p>
          <w:pPr>
            <w:pStyle w:val="TOC2"/>
            <w:tabs>
              <w:tab w:val="left" w:pos="720" w:leader="none"/>
              <w:tab w:val="right" w:pos="9350" w:leader="dot"/>
            </w:tabs>
            <w:rPr>
              <w:lang w:val="en-CA"/>
            </w:rPr>
          </w:pPr>
          <w:r>
            <w:rPr>
              <w:lang w:val="en-CA"/>
            </w:rPr>
            <w:t>I.</w:t>
            <w:tab/>
          </w:r>
          <w:r>
            <w:rPr>
              <w:u w:val="single"/>
              <w:lang w:val="en-CA"/>
            </w:rPr>
            <w:t>Florida Reliability Coordinating Council</w:t>
          </w:r>
          <w:r>
            <w:rPr>
              <w:lang w:val="en-CA"/>
            </w:rPr>
            <w:t xml:space="preserve"> (“</w:t>
          </w:r>
          <w:r>
            <w:rPr>
              <w:u w:val="single"/>
              <w:lang w:val="en-CA"/>
            </w:rPr>
            <w:t>FRCC</w:t>
          </w:r>
          <w:r>
            <w:rPr>
              <w:lang w:val="en-CA"/>
            </w:rPr>
            <w:t>”)</w:t>
            <w:tab/>
          </w:r>
          <w:hyperlink w:anchor="__RefHeading___Toc473367268">
            <w:r>
              <w:rPr>
                <w:rStyle w:val="IndexLink"/>
                <w:lang w:val="en-CA"/>
              </w:rPr>
              <w:t>23</w:t>
            </w:r>
          </w:hyperlink>
        </w:p>
        <w:p>
          <w:pPr>
            <w:pStyle w:val="TOC3"/>
            <w:tabs>
              <w:tab w:val="clear" w:pos="720"/>
              <w:tab w:val="left" w:pos="1440" w:leader="none"/>
              <w:tab w:val="right" w:pos="9350" w:leader="dot"/>
            </w:tabs>
            <w:rPr>
              <w:lang w:val="en-CA"/>
            </w:rPr>
          </w:pPr>
          <w:r>
            <w:rPr>
              <w:lang w:val="en-CA"/>
            </w:rPr>
            <w:t>1.</w:t>
            <w:tab/>
            <w:t>Operating Reserves</w:t>
            <w:tab/>
          </w:r>
          <w:hyperlink w:anchor="__RefHeading___Toc473367269">
            <w:r>
              <w:rPr>
                <w:rStyle w:val="IndexLink"/>
                <w:lang w:val="en-CA"/>
              </w:rPr>
              <w:t>23</w:t>
            </w:r>
          </w:hyperlink>
        </w:p>
        <w:p>
          <w:pPr>
            <w:pStyle w:val="TOC3"/>
            <w:tabs>
              <w:tab w:val="clear" w:pos="720"/>
              <w:tab w:val="left" w:pos="1440" w:leader="none"/>
              <w:tab w:val="right" w:pos="9350" w:leader="dot"/>
            </w:tabs>
            <w:rPr>
              <w:lang w:val="en-CA"/>
            </w:rPr>
          </w:pPr>
          <w:r>
            <w:rPr>
              <w:lang w:val="en-CA"/>
            </w:rPr>
            <w:t>2.</w:t>
            <w:tab/>
            <w:t>Planning Reserves</w:t>
            <w:tab/>
          </w:r>
          <w:hyperlink w:anchor="__RefHeading___Toc473367270">
            <w:r>
              <w:rPr>
                <w:rStyle w:val="IndexLink"/>
                <w:lang w:val="en-CA"/>
              </w:rPr>
              <w:t>23</w:t>
            </w:r>
          </w:hyperlink>
        </w:p>
        <w:p>
          <w:pPr>
            <w:pStyle w:val="TOC2"/>
            <w:tabs>
              <w:tab w:val="left" w:pos="720" w:leader="none"/>
              <w:tab w:val="right" w:pos="9350" w:leader="dot"/>
            </w:tabs>
            <w:rPr>
              <w:lang w:val="en-CA"/>
            </w:rPr>
          </w:pPr>
          <w:r>
            <w:rPr>
              <w:lang w:val="en-CA"/>
            </w:rPr>
            <w:t>J.</w:t>
            <w:tab/>
          </w:r>
          <w:r>
            <w:rPr>
              <w:u w:val="single"/>
              <w:lang w:val="en-CA"/>
            </w:rPr>
            <w:t>Southeastern Electric Reliability Council</w:t>
          </w:r>
          <w:r>
            <w:rPr>
              <w:lang w:val="en-CA"/>
            </w:rPr>
            <w:t xml:space="preserve"> (“</w:t>
          </w:r>
          <w:r>
            <w:rPr>
              <w:u w:val="single"/>
              <w:lang w:val="en-CA"/>
            </w:rPr>
            <w:t>SERC</w:t>
          </w:r>
          <w:r>
            <w:rPr>
              <w:lang w:val="en-CA"/>
            </w:rPr>
            <w:t>”)</w:t>
            <w:tab/>
          </w:r>
          <w:hyperlink w:anchor="__RefHeading___Toc473367271">
            <w:r>
              <w:rPr>
                <w:rStyle w:val="IndexLink"/>
                <w:lang w:val="en-CA"/>
              </w:rPr>
              <w:t>23</w:t>
            </w:r>
          </w:hyperlink>
        </w:p>
        <w:p>
          <w:pPr>
            <w:pStyle w:val="TOC3"/>
            <w:tabs>
              <w:tab w:val="clear" w:pos="720"/>
              <w:tab w:val="left" w:pos="1440" w:leader="none"/>
              <w:tab w:val="right" w:pos="9350" w:leader="dot"/>
            </w:tabs>
            <w:rPr>
              <w:lang w:val="en-CA"/>
            </w:rPr>
          </w:pPr>
          <w:r>
            <w:rPr>
              <w:lang w:val="en-CA"/>
            </w:rPr>
            <w:t>1.</w:t>
            <w:tab/>
            <w:t>Operating Reserves</w:t>
            <w:tab/>
          </w:r>
          <w:hyperlink w:anchor="__RefHeading___Toc473367272">
            <w:r>
              <w:rPr>
                <w:rStyle w:val="IndexLink"/>
                <w:lang w:val="en-CA"/>
              </w:rPr>
              <w:t>23</w:t>
            </w:r>
          </w:hyperlink>
        </w:p>
        <w:p>
          <w:pPr>
            <w:pStyle w:val="TOC3"/>
            <w:tabs>
              <w:tab w:val="clear" w:pos="720"/>
              <w:tab w:val="left" w:pos="1440" w:leader="none"/>
              <w:tab w:val="right" w:pos="9350" w:leader="dot"/>
            </w:tabs>
            <w:rPr>
              <w:lang w:val="en-CA"/>
            </w:rPr>
          </w:pPr>
          <w:r>
            <w:rPr>
              <w:lang w:val="en-CA"/>
            </w:rPr>
            <w:t>2.</w:t>
            <w:tab/>
            <w:t>Planning Reserves</w:t>
            <w:tab/>
          </w:r>
          <w:hyperlink w:anchor="__RefHeading___Toc473367273">
            <w:r>
              <w:rPr>
                <w:rStyle w:val="IndexLink"/>
                <w:lang w:val="en-CA"/>
              </w:rPr>
              <w:t>24</w:t>
            </w:r>
          </w:hyperlink>
          <w:r>
            <w:rPr>
              <w:rStyle w:val="IndexLink"/>
              <w:lang w:val="en-CA"/>
            </w:rPr>
            <w:fldChar w:fldCharType="end"/>
          </w:r>
        </w:p>
      </w:sdtContent>
    </w:sdt>
    <w:p>
      <w:pPr>
        <w:sectPr>
          <w:footerReference w:type="default" r:id="rId2"/>
          <w:footerReference w:type="first" r:id="rId3"/>
          <w:type w:val="nextPage"/>
          <w:pgSz w:w="12240" w:h="15840"/>
          <w:pgMar w:left="1440" w:right="1440" w:gutter="0" w:header="0" w:top="1440" w:footer="720" w:bottom="1296"/>
          <w:pgNumType w:fmt="decimal"/>
          <w:formProt w:val="false"/>
          <w:titlePg/>
          <w:textDirection w:val="lrTb"/>
        </w:sectPr>
        <w:pStyle w:val="Normal"/>
        <w:rPr>
          <w:lang w:val="en-CA"/>
        </w:rPr>
      </w:pPr>
      <w:r>
        <w:rPr>
          <w:lang w:val="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Cs/>
        </w:rPr>
      </w:pPr>
      <w:r>
        <w:rPr>
          <w:b/>
          <w:bCs/>
        </w:rPr>
        <w:t>MEMORANDUM</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rPr/>
      </w:pPr>
      <w:r>
        <w:rPr/>
        <w:t>TO:</w:t>
        <w:tab/>
        <w:tab/>
        <w:t>Mike Small</w:t>
      </w:r>
    </w:p>
    <w:p>
      <w:pPr>
        <w:pStyle w:val="Normal"/>
        <w:rPr/>
      </w:pPr>
      <w:r>
        <w:rPr/>
      </w:r>
    </w:p>
    <w:p>
      <w:pPr>
        <w:pStyle w:val="Normal"/>
        <w:rPr/>
      </w:pPr>
      <w:r>
        <w:rPr/>
        <w:t>FROM:</w:t>
        <w:tab/>
        <w:t>Doug Waikart</w:t>
      </w:r>
    </w:p>
    <w:p>
      <w:pPr>
        <w:pStyle w:val="Normal"/>
        <w:rPr/>
      </w:pPr>
      <w:r>
        <w:rPr/>
      </w:r>
    </w:p>
    <w:p>
      <w:pPr>
        <w:pStyle w:val="Normal"/>
        <w:rPr/>
      </w:pPr>
      <w:r>
        <w:rPr/>
        <w:t>DATE:</w:t>
        <w:tab/>
        <w:tab/>
        <w:t>January 24, 2000</w:t>
      </w:r>
    </w:p>
    <w:p>
      <w:pPr>
        <w:pStyle w:val="Normal"/>
        <w:rPr/>
      </w:pPr>
      <w:r>
        <w:rPr/>
      </w:r>
    </w:p>
    <w:p>
      <w:pPr>
        <w:pStyle w:val="Normal"/>
        <w:rPr/>
      </w:pPr>
      <w:r>
        <w:rPr/>
        <w:t>RE:</w:t>
        <w:tab/>
        <w:tab/>
        <w:t>Operating/Planning Reserve Requirements for NERC Reliability Regions</w:t>
      </w:r>
    </w:p>
    <w:p>
      <w:pPr>
        <w:pStyle w:val="Normal"/>
        <w:rPr/>
      </w:pPr>
      <w:r>
        <w:rPr/>
        <w:t>______________________________________________________________________________</w:t>
      </w:r>
    </w:p>
    <w:p>
      <w:pPr>
        <w:pStyle w:val="Normal"/>
        <w:rPr/>
      </w:pPr>
      <w:r>
        <w:rPr/>
      </w:r>
    </w:p>
    <w:p>
      <w:pPr>
        <w:pStyle w:val="Normal"/>
        <w:spacing w:lineRule="auto" w:line="480"/>
        <w:rPr/>
      </w:pPr>
      <w:r>
        <w:rPr/>
        <w:tab/>
        <w:t xml:space="preserve">This memorandum summarizes the operating and planning reserve requirements (including any related definition of a “firm” product) of the North American Electric Reliability Council (“NERC”) and the NERC Regions.  </w:t>
      </w:r>
    </w:p>
    <w:p>
      <w:pPr>
        <w:pStyle w:val="Normal"/>
        <w:spacing w:lineRule="auto" w:line="480"/>
        <w:ind w:hanging="720" w:start="720" w:end="0"/>
        <w:rPr>
          <w:b/>
          <w:bCs/>
        </w:rPr>
      </w:pPr>
      <w:r>
        <w:rPr>
          <w:b/>
          <w:bCs/>
        </w:rPr>
        <w:t>I.</w:t>
        <w:tab/>
        <w:t>NERC Criteria</w:t>
      </w:r>
      <w:r>
        <w:fldChar w:fldCharType="begin"/>
      </w:r>
      <w:r>
        <w:rPr/>
        <w:instrText xml:space="preserve"> TC "I.</w:instrText>
        <w:tab/>
        <w:instrText xml:space="preserve">NERC Criteria" \l 1 </w:instrText>
      </w:r>
      <w:r>
        <w:rPr/>
        <w:fldChar w:fldCharType="separate"/>
      </w:r>
      <w:r>
        <w:rPr/>
      </w:r>
      <w:r>
        <w:rPr/>
        <w:fldChar w:fldCharType="end"/>
      </w:r>
      <w:bookmarkStart w:id="0" w:name="__RefHeading___Toc473367241"/>
      <w:bookmarkEnd w:id="0"/>
    </w:p>
    <w:p>
      <w:pPr>
        <w:pStyle w:val="Normal"/>
        <w:spacing w:lineRule="auto" w:line="480"/>
        <w:ind w:hanging="720" w:start="1440" w:end="0"/>
        <w:rPr/>
      </w:pPr>
      <w:r>
        <w:rPr>
          <w:b/>
          <w:bCs/>
        </w:rPr>
        <w:t>A.</w:t>
        <w:tab/>
        <w:t>Operating Reserve</w:t>
      </w:r>
      <w:r>
        <w:fldChar w:fldCharType="begin"/>
      </w:r>
      <w:r>
        <w:rPr/>
        <w:instrText xml:space="preserve"> TC "A.</w:instrText>
        <w:tab/>
        <w:instrText xml:space="preserve">Operating Reserve" \l 2 </w:instrText>
      </w:r>
      <w:r>
        <w:rPr/>
        <w:fldChar w:fldCharType="separate"/>
      </w:r>
      <w:r>
        <w:rPr/>
      </w:r>
      <w:r>
        <w:rPr/>
        <w:fldChar w:fldCharType="end"/>
      </w:r>
      <w:bookmarkStart w:id="1" w:name="__RefHeading___Toc473367242"/>
      <w:bookmarkEnd w:id="1"/>
    </w:p>
    <w:p>
      <w:pPr>
        <w:pStyle w:val="Normal"/>
        <w:spacing w:lineRule="auto" w:line="480"/>
        <w:rPr/>
      </w:pPr>
      <w:r>
        <w:rPr/>
        <w:tab/>
        <w:t>NERC’s doctrine for interconnected systems operation consists of Standards, Requirements, and Guides which, taken together, form NERC’s Operating Policies.</w:t>
      </w:r>
      <w:r>
        <w:rPr>
          <w:rStyle w:val="FootnoteCharacters"/>
          <w:rStyle w:val="FootnoteReference"/>
        </w:rPr>
        <w:footnoteReference w:id="2"/>
      </w:r>
      <w:r>
        <w:rPr/>
        <w:t xml:space="preserve">  NERC’s Operating Policies define “Operating Reserve” as:</w:t>
      </w:r>
    </w:p>
    <w:p>
      <w:pPr>
        <w:pStyle w:val="Normal"/>
        <w:ind w:start="1440" w:end="1440"/>
        <w:rPr/>
      </w:pPr>
      <w:r>
        <w:rPr/>
        <w:t>That capability above firm system demand required to provide for regulation, load forecasting error, equipment forced and scheduled outages and local area protection.  It consists of spinning and non-spinning reserve.</w:t>
      </w:r>
    </w:p>
    <w:p>
      <w:pPr>
        <w:pStyle w:val="Normal"/>
        <w:ind w:start="1440" w:end="1440"/>
        <w:rPr/>
      </w:pPr>
      <w:r>
        <w:rPr/>
      </w:r>
    </w:p>
    <w:p>
      <w:pPr>
        <w:pStyle w:val="Normal"/>
        <w:spacing w:lineRule="auto" w:line="480"/>
        <w:rPr/>
      </w:pPr>
      <w:r>
        <w:rPr>
          <w:u w:val="single"/>
        </w:rPr>
        <w:t>See</w:t>
      </w:r>
      <w:r>
        <w:rPr/>
        <w:t xml:space="preserve"> Terms Used in Policies, Version 3, May 7, 1999 at T-3.</w:t>
      </w:r>
    </w:p>
    <w:p>
      <w:pPr>
        <w:pStyle w:val="Normal"/>
        <w:spacing w:lineRule="auto" w:line="480"/>
        <w:rPr/>
      </w:pPr>
      <w:r>
        <w:rPr/>
        <w:tab/>
        <w:t xml:space="preserve">“Spinning Reserve” is defined as “unloaded generation, which is synchronized and ready to serve additional demand.”  </w:t>
      </w:r>
      <w:r>
        <w:rPr>
          <w:u w:val="single"/>
        </w:rPr>
        <w:t>Id.</w:t>
      </w:r>
      <w:r>
        <w:rPr/>
        <w:t xml:space="preserve"> at T-5.  “Non-Spinning Reserve” is defined as:</w:t>
      </w:r>
    </w:p>
    <w:p>
      <w:pPr>
        <w:pStyle w:val="Normal"/>
        <w:ind w:start="1440" w:end="1440"/>
        <w:rPr/>
      </w:pPr>
      <w:r>
        <w:rPr/>
        <w:t>That operating reserve not connected to the system but capable of serving demand within a specified time, or interruptible load that can be removed from the system in a specified time.</w:t>
      </w:r>
    </w:p>
    <w:p>
      <w:pPr>
        <w:pStyle w:val="Normal"/>
        <w:ind w:start="1440" w:end="1440"/>
        <w:rPr/>
      </w:pPr>
      <w:r>
        <w:rPr/>
      </w:r>
    </w:p>
    <w:p>
      <w:pPr>
        <w:pStyle w:val="Normal"/>
        <w:spacing w:lineRule="auto" w:line="480"/>
        <w:rPr/>
      </w:pPr>
      <w:r>
        <w:rPr>
          <w:u w:val="single"/>
        </w:rPr>
        <w:t>Id.</w:t>
      </w:r>
      <w:r>
        <w:rPr/>
        <w:t xml:space="preserve"> at T-3.</w:t>
      </w:r>
    </w:p>
    <w:p>
      <w:pPr>
        <w:pStyle w:val="Normal"/>
        <w:spacing w:lineRule="auto" w:line="480"/>
        <w:rPr/>
      </w:pPr>
      <w:r>
        <w:rPr/>
        <w:tab/>
        <w:t>NERC’s “Policy 1 - Generation Control and Performance” (“NERC Policy 1”)</w:t>
      </w:r>
      <w:r>
        <w:rPr>
          <w:rStyle w:val="FootnoteCharacters"/>
          <w:rStyle w:val="FootnoteReference"/>
        </w:rPr>
        <w:footnoteReference w:id="3"/>
      </w:r>
      <w:r>
        <w:rPr/>
        <w:t xml:space="preserve"> provides that:</w:t>
      </w:r>
    </w:p>
    <w:p>
      <w:pPr>
        <w:pStyle w:val="Normal"/>
        <w:ind w:start="1440" w:end="1440"/>
        <w:rPr/>
      </w:pPr>
      <w:r>
        <w:rPr/>
        <w:t xml:space="preserve">Each Region, subregion or </w:t>
      </w:r>
      <w:r>
        <w:rPr>
          <w:smallCaps/>
        </w:rPr>
        <w:t>Reserve Sharing Group</w:t>
      </w:r>
      <w:r>
        <w:rPr/>
        <w:t xml:space="preserve"> shall specify its operating reserve policies, including the minimum reserve requirement for the group, its allocation among members, the permissible mix of </w:t>
      </w:r>
      <w:r>
        <w:rPr>
          <w:smallCaps/>
        </w:rPr>
        <w:t>Spinning Reserve</w:t>
      </w:r>
      <w:r>
        <w:rPr/>
        <w:t xml:space="preserve"> and non-spinning reserve, and procedure for applying operating reserve in practice, and the limitations, if any, upon the amount of interruptible load which may be included.</w:t>
      </w:r>
    </w:p>
    <w:p>
      <w:pPr>
        <w:pStyle w:val="Normal"/>
        <w:ind w:start="1440" w:end="1440"/>
        <w:rPr/>
      </w:pPr>
      <w:r>
        <w:rPr/>
      </w:r>
    </w:p>
    <w:p>
      <w:pPr>
        <w:pStyle w:val="Normal"/>
        <w:spacing w:lineRule="auto" w:line="480"/>
        <w:rPr/>
      </w:pPr>
      <w:r>
        <w:rPr/>
        <w:tab/>
        <w:t>NERC Policy 1 further provides that each Region must provide a minimum operating reserve consisting of:</w:t>
      </w:r>
    </w:p>
    <w:p>
      <w:pPr>
        <w:pStyle w:val="Normal"/>
        <w:ind w:hanging="720" w:start="2160" w:end="1440"/>
        <w:rPr/>
      </w:pPr>
      <w:r>
        <w:rPr>
          <w:b/>
          <w:bCs/>
        </w:rPr>
        <w:t>3.1.</w:t>
        <w:tab/>
        <w:t>Regulating reserve.</w:t>
      </w:r>
      <w:r>
        <w:rPr/>
        <w:t xml:space="preserve">  An amount of </w:t>
      </w:r>
      <w:r>
        <w:rPr>
          <w:smallCaps/>
        </w:rPr>
        <w:t>Spinning Reserve</w:t>
      </w:r>
      <w:r>
        <w:rPr/>
        <w:t>, responsive to AGC [Automatic Generation Control], which is sufficient to provide normal regulating margin, plus</w:t>
      </w:r>
    </w:p>
    <w:p>
      <w:pPr>
        <w:pStyle w:val="Normal"/>
        <w:ind w:hanging="720" w:start="2160" w:end="1440"/>
        <w:rPr/>
      </w:pPr>
      <w:r>
        <w:rPr/>
      </w:r>
    </w:p>
    <w:p>
      <w:pPr>
        <w:pStyle w:val="Normal"/>
        <w:ind w:hanging="720" w:start="2160" w:end="1440"/>
        <w:rPr/>
      </w:pPr>
      <w:r>
        <w:rPr>
          <w:b/>
          <w:bCs/>
        </w:rPr>
        <w:t>3.2.</w:t>
        <w:tab/>
        <w:t>Contingency reserve.</w:t>
      </w:r>
      <w:r>
        <w:rPr/>
        <w:t xml:space="preserve">  An additional amount of </w:t>
      </w:r>
      <w:r>
        <w:rPr>
          <w:smallCaps/>
        </w:rPr>
        <w:t>Operating Reserve</w:t>
      </w:r>
      <w:r>
        <w:rPr/>
        <w:t xml:space="preserve"> sufficient to reduce </w:t>
      </w:r>
      <w:r>
        <w:rPr>
          <w:smallCaps/>
        </w:rPr>
        <w:t>Area Control Error</w:t>
      </w:r>
      <w:r>
        <w:rPr/>
        <w:t xml:space="preserve"> to meet the Disturbance Control Standard following the most severe single contingency.</w:t>
      </w:r>
    </w:p>
    <w:p>
      <w:pPr>
        <w:pStyle w:val="Normal"/>
        <w:ind w:hanging="540" w:start="1980" w:end="1440"/>
        <w:rPr/>
      </w:pPr>
      <w:r>
        <w:rPr/>
      </w:r>
    </w:p>
    <w:p>
      <w:pPr>
        <w:pStyle w:val="Normal"/>
        <w:spacing w:lineRule="auto" w:line="480"/>
        <w:ind w:firstLine="720" w:end="0"/>
        <w:rPr/>
      </w:pPr>
      <w:r>
        <w:rPr/>
        <w:t xml:space="preserve">NERC Policy 1 states that at least 50% of the contingency reserve portion of operating reserve must be Spinning Reserve.  Section 3.2.1.  The Spinning Reserve component may be reduced below 50% only if the Region can show that it will still be able to meet or exceed established performance standards and not jeopardize reliable operation of the Interconnection upon its most severe single contingency.  Section 3.2.4.  </w:t>
      </w:r>
    </w:p>
    <w:p>
      <w:pPr>
        <w:pStyle w:val="Normal"/>
        <w:spacing w:lineRule="auto" w:line="480"/>
        <w:ind w:hanging="720" w:start="1440" w:end="0"/>
        <w:rPr>
          <w:b/>
          <w:bCs/>
        </w:rPr>
      </w:pPr>
      <w:r>
        <w:rPr>
          <w:b/>
          <w:bCs/>
        </w:rPr>
        <w:t>B.</w:t>
        <w:tab/>
        <w:t>Planning Reserve</w:t>
      </w:r>
      <w:r>
        <w:fldChar w:fldCharType="begin"/>
      </w:r>
      <w:r>
        <w:rPr/>
        <w:instrText xml:space="preserve"> TC "B.</w:instrText>
        <w:tab/>
        <w:instrText xml:space="preserve">Planning Reserve" \l 2 </w:instrText>
      </w:r>
      <w:r>
        <w:rPr/>
        <w:fldChar w:fldCharType="separate"/>
      </w:r>
      <w:r>
        <w:rPr/>
      </w:r>
      <w:r>
        <w:rPr/>
        <w:fldChar w:fldCharType="end"/>
      </w:r>
      <w:bookmarkStart w:id="2" w:name="__RefHeading___Toc473367243"/>
      <w:bookmarkEnd w:id="2"/>
    </w:p>
    <w:p>
      <w:pPr>
        <w:pStyle w:val="Normal"/>
        <w:spacing w:lineRule="auto" w:line="480"/>
        <w:rPr/>
      </w:pPr>
      <w:r>
        <w:rPr>
          <w:b/>
          <w:bCs/>
        </w:rPr>
        <w:tab/>
      </w:r>
      <w:r>
        <w:rPr/>
        <w:t>In September 1997, NERC approved Planning Standards that set forth fundamental requirements for planning reliable interconnected bulk electric systems.</w:t>
      </w:r>
      <w:r>
        <w:rPr>
          <w:rStyle w:val="FootnoteCharacters"/>
          <w:rStyle w:val="FootnoteReference"/>
        </w:rPr>
        <w:footnoteReference w:id="4"/>
      </w:r>
      <w:r>
        <w:rPr/>
        <w:t xml:space="preserve">  Compliance with the Standards by the NERC Regions and their members is mandatory.  </w:t>
      </w:r>
      <w:r>
        <w:rPr>
          <w:u w:val="single"/>
        </w:rPr>
        <w:t>Id.</w:t>
      </w:r>
      <w:r>
        <w:rPr/>
        <w:t xml:space="preserve"> at 4.</w:t>
      </w:r>
    </w:p>
    <w:p>
      <w:pPr>
        <w:pStyle w:val="Normal"/>
        <w:spacing w:lineRule="auto" w:line="480"/>
        <w:rPr/>
      </w:pPr>
      <w:r>
        <w:rPr/>
        <w:tab/>
        <w:t xml:space="preserve">The Standards state the “Regions, subregions, power pools, and their members” have “primary responsibility” to ensure the reliability of bulk electric supply in their respective areas.  </w:t>
      </w:r>
      <w:r>
        <w:rPr>
          <w:u w:val="single"/>
        </w:rPr>
        <w:t>Id.</w:t>
      </w:r>
      <w:r>
        <w:rPr/>
        <w:t xml:space="preserve">  NERC urges these entities to develop their own appropriate or more detailed planning and operating reliability criteria and guides based on the Standards.  Where these entities develop reliability criteria and guides that are “more restrictive” than the NERC Standards, all electric industry participants must observe those criteria and/or guides.  </w:t>
      </w:r>
      <w:r>
        <w:rPr>
          <w:u w:val="single"/>
        </w:rPr>
        <w:t>Id.</w:t>
      </w:r>
      <w:r>
        <w:rPr/>
        <w:t xml:space="preserve"> at 5.</w:t>
      </w:r>
    </w:p>
    <w:p>
      <w:pPr>
        <w:pStyle w:val="Normal"/>
        <w:spacing w:lineRule="auto" w:line="480"/>
        <w:rPr/>
      </w:pPr>
      <w:r>
        <w:rPr/>
        <w:tab/>
        <w:t>In September 1998, NERC issued an assessment of the reliability of existing and planned electric generation and transmission systems of the NERC Regions for the period 1998-2007.</w:t>
      </w:r>
      <w:r>
        <w:rPr>
          <w:rStyle w:val="FootnoteCharacters"/>
          <w:rStyle w:val="FootnoteReference"/>
        </w:rPr>
        <w:footnoteReference w:id="5"/>
      </w:r>
      <w:r>
        <w:rPr/>
        <w:t xml:space="preserve">  The NERC RA observed that:</w:t>
      </w:r>
    </w:p>
    <w:p>
      <w:pPr>
        <w:pStyle w:val="Normal"/>
        <w:ind w:start="1440" w:end="1440"/>
        <w:rPr/>
      </w:pPr>
      <w:r>
        <w:rPr/>
        <w:t>Capacity margins in the United States continue to decline from projections of the last few years (see Figure 3).  For the first time, projected margins in the United States are as low as 10% by the end of the assessment period.  Because of the uncertainty in the marketplace, a number of Regions and subregions have discontinued reporting even uncommitteed resource additions needed to satisfy Regional criteria in the latter years of the ten-year review period, contributing to the significant decline in the margins.</w:t>
      </w:r>
    </w:p>
    <w:p>
      <w:pPr>
        <w:pStyle w:val="Normal"/>
        <w:ind w:start="1440" w:end="1440"/>
        <w:rPr/>
      </w:pPr>
      <w:r>
        <w:rPr/>
      </w:r>
    </w:p>
    <w:p>
      <w:pPr>
        <w:pStyle w:val="Normal"/>
        <w:spacing w:lineRule="auto" w:line="480"/>
        <w:rPr/>
      </w:pPr>
      <w:r>
        <w:rPr>
          <w:u w:val="single"/>
        </w:rPr>
        <w:t>Id.</w:t>
      </w:r>
      <w:r>
        <w:rPr/>
        <w:t xml:space="preserve"> at 10.</w:t>
      </w:r>
      <w:r>
        <w:rPr>
          <w:rStyle w:val="FootnoteCharacters"/>
          <w:rStyle w:val="FootnoteReference"/>
        </w:rPr>
        <w:footnoteReference w:id="6"/>
      </w:r>
    </w:p>
    <w:p>
      <w:pPr>
        <w:pStyle w:val="Normal"/>
        <w:spacing w:lineRule="auto" w:line="480"/>
        <w:rPr>
          <w:b/>
          <w:bCs/>
        </w:rPr>
      </w:pPr>
      <w:r>
        <w:rPr>
          <w:b/>
          <w:bCs/>
        </w:rPr>
        <w:tab/>
        <w:t>II.</w:t>
        <w:tab/>
        <w:t>NERC Regions</w:t>
      </w:r>
      <w:r>
        <w:fldChar w:fldCharType="begin"/>
      </w:r>
      <w:r>
        <w:rPr/>
        <w:instrText xml:space="preserve"> TC "II.</w:instrText>
        <w:tab/>
        <w:instrText xml:space="preserve">NERC Regions" \l 1 </w:instrText>
      </w:r>
      <w:r>
        <w:rPr/>
        <w:fldChar w:fldCharType="separate"/>
      </w:r>
      <w:r>
        <w:rPr/>
      </w:r>
      <w:r>
        <w:rPr/>
        <w:fldChar w:fldCharType="end"/>
      </w:r>
      <w:bookmarkStart w:id="3" w:name="__RefHeading___Toc473367244"/>
      <w:bookmarkEnd w:id="3"/>
    </w:p>
    <w:p>
      <w:pPr>
        <w:pStyle w:val="Normal"/>
        <w:spacing w:lineRule="auto" w:line="480"/>
        <w:ind w:hanging="720" w:start="1440" w:end="0"/>
        <w:rPr>
          <w:b/>
          <w:bCs/>
        </w:rPr>
      </w:pPr>
      <w:r>
        <w:rPr>
          <w:b/>
          <w:bCs/>
        </w:rPr>
        <w:t>A.</w:t>
        <w:tab/>
      </w:r>
      <w:r>
        <w:rPr>
          <w:b/>
          <w:bCs/>
          <w:u w:val="single"/>
        </w:rPr>
        <w:t>Western System Coordinating Council</w:t>
      </w:r>
      <w:r>
        <w:rPr>
          <w:b/>
          <w:bCs/>
        </w:rPr>
        <w:t xml:space="preserve"> (“</w:t>
      </w:r>
      <w:r>
        <w:rPr>
          <w:b/>
          <w:bCs/>
          <w:u w:val="single"/>
        </w:rPr>
        <w:t>WSCC</w:t>
      </w:r>
      <w:r>
        <w:rPr>
          <w:b/>
          <w:bCs/>
        </w:rPr>
        <w:t>”)</w:t>
      </w:r>
      <w:r>
        <w:fldChar w:fldCharType="begin"/>
      </w:r>
      <w:r>
        <w:rPr/>
        <w:instrText xml:space="preserve"> TC "A.</w:instrText>
        <w:tab/>
        <w:instrText xml:space="preserve">Western System Coordinating Council (WSCC)" \l 2 </w:instrText>
      </w:r>
      <w:r>
        <w:rPr/>
        <w:fldChar w:fldCharType="separate"/>
      </w:r>
      <w:r>
        <w:rPr/>
      </w:r>
      <w:r>
        <w:rPr/>
        <w:fldChar w:fldCharType="end"/>
      </w:r>
      <w:bookmarkStart w:id="4" w:name="__RefHeading___Toc473367245"/>
      <w:bookmarkEnd w:id="4"/>
    </w:p>
    <w:p>
      <w:pPr>
        <w:pStyle w:val="Normal"/>
        <w:spacing w:lineRule="auto" w:line="480"/>
        <w:ind w:hanging="720" w:start="2160" w:end="0"/>
        <w:rPr>
          <w:b/>
          <w:bCs/>
        </w:rPr>
      </w:pPr>
      <w:r>
        <w:rPr>
          <w:b/>
          <w:bCs/>
        </w:rPr>
        <w:t>1.</w:t>
        <w:tab/>
        <w:t>Operating Reserve</w:t>
      </w:r>
      <w:r>
        <w:fldChar w:fldCharType="begin"/>
      </w:r>
      <w:r>
        <w:rPr/>
        <w:instrText xml:space="preserve"> TC "1.</w:instrText>
        <w:tab/>
        <w:instrText xml:space="preserve">Operating Reserve" \l 3 </w:instrText>
      </w:r>
      <w:r>
        <w:rPr/>
        <w:fldChar w:fldCharType="separate"/>
      </w:r>
      <w:r>
        <w:rPr/>
      </w:r>
      <w:r>
        <w:rPr/>
        <w:fldChar w:fldCharType="end"/>
      </w:r>
      <w:bookmarkStart w:id="5" w:name="__RefHeading___Toc473367246"/>
      <w:bookmarkEnd w:id="5"/>
    </w:p>
    <w:p>
      <w:pPr>
        <w:pStyle w:val="Normal"/>
        <w:spacing w:lineRule="auto" w:line="480"/>
        <w:rPr/>
      </w:pPr>
      <w:r>
        <w:rPr/>
        <w:tab/>
        <w:t>The Minimum Operating Reliability Criteria (“MORC”) included as Part III of the WSCC’s Reliability Criteria sets forth Operating Reserve requirements that track those of NERC Policy 1.</w:t>
      </w:r>
      <w:r>
        <w:rPr>
          <w:rStyle w:val="FootnoteCharacters"/>
          <w:rStyle w:val="FootnoteReference"/>
        </w:rPr>
        <w:footnoteReference w:id="7"/>
      </w:r>
      <w:r>
        <w:rPr/>
        <w:t xml:space="preserve">  The MORC states in Section 1.A:</w:t>
      </w:r>
    </w:p>
    <w:p>
      <w:pPr>
        <w:pStyle w:val="Normal"/>
        <w:ind w:start="1440" w:end="1440"/>
        <w:rPr/>
      </w:pPr>
      <w:r>
        <w:rPr/>
        <w:t>A.</w:t>
        <w:tab/>
        <w:t>Operating Reserve</w:t>
      </w:r>
    </w:p>
    <w:p>
      <w:pPr>
        <w:pStyle w:val="Normal"/>
        <w:ind w:start="1440" w:end="1440"/>
        <w:rPr/>
      </w:pPr>
      <w:r>
        <w:rPr/>
      </w:r>
    </w:p>
    <w:p>
      <w:pPr>
        <w:pStyle w:val="Normal"/>
        <w:ind w:start="1440" w:end="1440"/>
        <w:rPr/>
      </w:pPr>
      <w:r>
        <w:rPr/>
        <w:t>The reliable operation of the interconnected power system requires that adequate generating capacity be available at all times to maintain scheduled frequency and avoid loss of firm load following transmission or generation contingencies.  This generating capacity is necessary to:</w:t>
      </w:r>
    </w:p>
    <w:p>
      <w:pPr>
        <w:pStyle w:val="Normal"/>
        <w:ind w:start="1440" w:end="1440"/>
        <w:rPr/>
      </w:pPr>
      <w:r>
        <w:rPr/>
      </w:r>
    </w:p>
    <w:p>
      <w:pPr>
        <w:pStyle w:val="Normal"/>
        <w:ind w:hanging="360" w:start="2160" w:end="1440"/>
        <w:rPr/>
      </w:pPr>
      <w:r>
        <w:rPr/>
        <w:t>?</w:t>
        <w:tab/>
        <w:t>supply requirements for load variations.</w:t>
      </w:r>
    </w:p>
    <w:p>
      <w:pPr>
        <w:pStyle w:val="Normal"/>
        <w:ind w:hanging="360" w:start="2160" w:end="1440"/>
        <w:rPr/>
      </w:pPr>
      <w:r>
        <w:rPr/>
      </w:r>
    </w:p>
    <w:p>
      <w:pPr>
        <w:pStyle w:val="Normal"/>
        <w:ind w:hanging="360" w:start="2160" w:end="1440"/>
        <w:rPr/>
      </w:pPr>
      <w:r>
        <w:rPr/>
        <w:t>?</w:t>
        <w:tab/>
        <w:t>replace generating capacity and energy lost due to forced outages of generation or transmission equipment.</w:t>
      </w:r>
    </w:p>
    <w:p>
      <w:pPr>
        <w:pStyle w:val="Normal"/>
        <w:ind w:hanging="360" w:start="2160" w:end="1440"/>
        <w:rPr/>
      </w:pPr>
      <w:r>
        <w:rPr/>
      </w:r>
    </w:p>
    <w:p>
      <w:pPr>
        <w:pStyle w:val="Normal"/>
        <w:ind w:hanging="360" w:start="2160" w:end="1440"/>
        <w:rPr/>
      </w:pPr>
      <w:r>
        <w:rPr/>
        <w:t>?</w:t>
        <w:tab/>
        <w:t>meet on-demand obligations.</w:t>
      </w:r>
    </w:p>
    <w:p>
      <w:pPr>
        <w:pStyle w:val="Normal"/>
        <w:ind w:hanging="360" w:start="2160" w:end="1440"/>
        <w:rPr/>
      </w:pPr>
      <w:r>
        <w:rPr/>
      </w:r>
    </w:p>
    <w:p>
      <w:pPr>
        <w:pStyle w:val="Normal"/>
        <w:ind w:hanging="360" w:start="2160" w:end="1440"/>
        <w:rPr/>
      </w:pPr>
      <w:r>
        <w:rPr/>
        <w:t>?</w:t>
        <w:tab/>
        <w:t>replace energy lost due to curtailment of interruptible imports.</w:t>
      </w:r>
    </w:p>
    <w:p>
      <w:pPr>
        <w:pStyle w:val="Normal"/>
        <w:ind w:hanging="360" w:start="2160" w:end="1440"/>
        <w:rPr/>
      </w:pPr>
      <w:r>
        <w:rPr/>
      </w:r>
    </w:p>
    <w:p>
      <w:pPr>
        <w:pStyle w:val="Normal"/>
        <w:spacing w:lineRule="auto" w:line="480"/>
        <w:rPr/>
      </w:pPr>
      <w:r>
        <w:rPr/>
        <w:tab/>
        <w:t>The Control Area Operator (“CAO”) is the responsible entity to ensure compliance with MORC Operating Reserve requirements.  Section 1.A.1 of those requirements provides for a minimum operating reserve as follows:</w:t>
      </w:r>
      <w:r>
        <w:rPr>
          <w:rStyle w:val="FootnoteCharacters"/>
          <w:rStyle w:val="FootnoteReference"/>
        </w:rPr>
        <w:footnoteReference w:id="8"/>
      </w:r>
    </w:p>
    <w:p>
      <w:pPr>
        <w:pStyle w:val="Normal"/>
        <w:ind w:hanging="720" w:start="2160" w:end="1440"/>
        <w:rPr/>
      </w:pPr>
      <w:r>
        <w:rPr/>
        <w:t>1.</w:t>
        <w:tab/>
      </w:r>
      <w:r>
        <w:rPr>
          <w:b/>
          <w:bCs/>
        </w:rPr>
        <w:t>Minimum operating reserve.</w:t>
      </w:r>
      <w:r>
        <w:rPr/>
        <w:t xml:space="preserve">  Each control area shall maintain minimum operating reserve which is the sum of the following:</w:t>
      </w:r>
    </w:p>
    <w:p>
      <w:pPr>
        <w:pStyle w:val="Normal"/>
        <w:ind w:hanging="720" w:start="2160" w:end="1440"/>
        <w:rPr/>
      </w:pPr>
      <w:r>
        <w:rPr/>
      </w:r>
    </w:p>
    <w:p>
      <w:pPr>
        <w:pStyle w:val="Normal"/>
        <w:ind w:hanging="720" w:start="2880" w:end="1440"/>
        <w:rPr/>
      </w:pPr>
      <w:r>
        <w:rPr/>
        <w:t>(a)</w:t>
        <w:tab/>
      </w:r>
      <w:r>
        <w:rPr>
          <w:b/>
          <w:bCs/>
        </w:rPr>
        <w:t>Regulating reserve.</w:t>
      </w:r>
      <w:r>
        <w:rPr/>
        <w:t xml:space="preserve">  Sufficient spinning reserve,</w:t>
      </w:r>
      <w:r>
        <w:rPr>
          <w:vertAlign w:val="superscript"/>
        </w:rPr>
        <w:t>[</w:t>
      </w:r>
      <w:r>
        <w:rPr>
          <w:rStyle w:val="FootnoteCharacters"/>
          <w:rStyle w:val="FootnoteReference"/>
        </w:rPr>
        <w:footnoteReference w:id="9"/>
      </w:r>
      <w:r>
        <w:rPr>
          <w:vertAlign w:val="superscript"/>
        </w:rPr>
        <w:t>]</w:t>
      </w:r>
      <w:r>
        <w:rPr/>
        <w:t xml:space="preserve"> immediately responsive to automatic generation control (AGC) to provide sufficient regulating margin to allow the control area to meet NERC’s </w:t>
      </w:r>
      <w:r>
        <w:rPr>
          <w:i/>
          <w:iCs/>
        </w:rPr>
        <w:t>Control Performance Criteria</w:t>
      </w:r>
      <w:r>
        <w:rPr/>
        <w:t>.</w:t>
      </w:r>
    </w:p>
    <w:p>
      <w:pPr>
        <w:pStyle w:val="Normal"/>
        <w:ind w:hanging="1440" w:start="2880" w:end="1440"/>
        <w:rPr/>
      </w:pPr>
      <w:r>
        <w:rPr/>
      </w:r>
    </w:p>
    <w:p>
      <w:pPr>
        <w:pStyle w:val="Normal"/>
        <w:tabs>
          <w:tab w:val="clear" w:pos="720"/>
          <w:tab w:val="left" w:pos="2160" w:leader="none"/>
        </w:tabs>
        <w:ind w:hanging="1440" w:start="2880" w:end="1440"/>
        <w:rPr/>
      </w:pPr>
      <w:r>
        <w:rPr/>
        <w:t>Plus</w:t>
        <w:tab/>
        <w:t>(b)</w:t>
        <w:tab/>
      </w:r>
      <w:r>
        <w:rPr>
          <w:b/>
          <w:bCs/>
        </w:rPr>
        <w:t xml:space="preserve">Contingency reserve. </w:t>
      </w:r>
      <w:r>
        <w:rPr/>
        <w:t xml:space="preserve"> An amount of spinning and nonspinning reserve,</w:t>
      </w:r>
      <w:r>
        <w:rPr>
          <w:vertAlign w:val="superscript"/>
        </w:rPr>
        <w:t>[</w:t>
      </w:r>
      <w:r>
        <w:rPr>
          <w:rStyle w:val="FootnoteCharacters"/>
          <w:rStyle w:val="FootnoteReference"/>
        </w:rPr>
        <w:footnoteReference w:id="10"/>
      </w:r>
      <w:r>
        <w:rPr>
          <w:vertAlign w:val="superscript"/>
        </w:rPr>
        <w:t>]</w:t>
      </w:r>
      <w:r>
        <w:rPr/>
        <w:t xml:space="preserve"> sufficient to reduce area control error (ACE) to zero within ten minutes, equal to the greater of:</w:t>
      </w:r>
    </w:p>
    <w:p>
      <w:pPr>
        <w:pStyle w:val="Normal"/>
        <w:tabs>
          <w:tab w:val="clear" w:pos="720"/>
          <w:tab w:val="left" w:pos="2160" w:leader="none"/>
        </w:tabs>
        <w:ind w:hanging="1440" w:start="2880" w:end="1440"/>
        <w:rPr/>
      </w:pPr>
      <w:r>
        <w:rPr/>
      </w:r>
    </w:p>
    <w:p>
      <w:pPr>
        <w:pStyle w:val="Normal"/>
        <w:ind w:hanging="720" w:start="3600" w:end="1440"/>
        <w:rPr/>
      </w:pPr>
      <w:r>
        <w:rPr/>
        <w:t>(1)</w:t>
        <w:tab/>
        <w:t>The loss of generating capacity due to forced outages of generation or transmission equipment that would result from the most severe single contingency (at least half of which must be spinning reserve); or</w:t>
      </w:r>
    </w:p>
    <w:p>
      <w:pPr>
        <w:pStyle w:val="Normal"/>
        <w:ind w:hanging="720" w:start="3600" w:end="1440"/>
        <w:rPr/>
      </w:pPr>
      <w:r>
        <w:rPr/>
      </w:r>
    </w:p>
    <w:p>
      <w:pPr>
        <w:pStyle w:val="Normal"/>
        <w:ind w:hanging="720" w:start="3600" w:end="1440"/>
        <w:rPr/>
      </w:pPr>
      <w:r>
        <w:rPr/>
        <w:t>(2)</w:t>
        <w:tab/>
        <w:t>The sum of five percent of the load responsibility served by hydro generation and seven percent of the load responsibility served by thermal generation (at least half of which must be spinning reserve).</w:t>
      </w:r>
    </w:p>
    <w:p>
      <w:pPr>
        <w:pStyle w:val="Normal"/>
        <w:ind w:hanging="720" w:start="3600" w:end="1440"/>
        <w:rPr/>
      </w:pPr>
      <w:r>
        <w:rPr/>
      </w:r>
    </w:p>
    <w:p>
      <w:pPr>
        <w:pStyle w:val="Normal"/>
        <w:ind w:start="2880" w:end="1440"/>
        <w:rPr/>
      </w:pPr>
      <w:r>
        <w:rPr/>
        <w:t>The combined unit ramp of each control area’s on-line, unloaded generating capacity must be capable of responding to the spinning reserve requirement of that control area within ten minutes.</w:t>
      </w:r>
    </w:p>
    <w:p>
      <w:pPr>
        <w:pStyle w:val="Normal"/>
        <w:ind w:start="2880" w:end="1440"/>
        <w:rPr/>
      </w:pPr>
      <w:r>
        <w:rPr/>
      </w:r>
    </w:p>
    <w:p>
      <w:pPr>
        <w:pStyle w:val="Normal"/>
        <w:tabs>
          <w:tab w:val="clear" w:pos="720"/>
          <w:tab w:val="left" w:pos="2160" w:leader="none"/>
        </w:tabs>
        <w:ind w:hanging="1440" w:start="2880" w:end="1440"/>
        <w:rPr/>
      </w:pPr>
      <w:r>
        <w:rPr/>
        <w:t>Plus</w:t>
        <w:tab/>
        <w:t>(c)</w:t>
        <w:tab/>
      </w:r>
      <w:r>
        <w:rPr>
          <w:b/>
          <w:bCs/>
        </w:rPr>
        <w:t>Additional reserve for interruptible imports.</w:t>
      </w:r>
      <w:r>
        <w:rPr/>
        <w:t xml:space="preserve">  An amount of reserve, which can be effective within ten minutes, equal to interruptible imports.</w:t>
      </w:r>
    </w:p>
    <w:p>
      <w:pPr>
        <w:pStyle w:val="Normal"/>
        <w:tabs>
          <w:tab w:val="clear" w:pos="720"/>
          <w:tab w:val="left" w:pos="2160" w:leader="none"/>
        </w:tabs>
        <w:ind w:hanging="1440" w:start="2880" w:end="1440"/>
        <w:rPr/>
      </w:pPr>
      <w:r>
        <w:rPr/>
      </w:r>
    </w:p>
    <w:p>
      <w:pPr>
        <w:pStyle w:val="Normal"/>
        <w:tabs>
          <w:tab w:val="clear" w:pos="720"/>
          <w:tab w:val="left" w:pos="2160" w:leader="none"/>
        </w:tabs>
        <w:ind w:hanging="1440" w:start="2880" w:end="1440"/>
        <w:rPr/>
      </w:pPr>
      <w:r>
        <w:rPr/>
        <w:t>Plus</w:t>
        <w:tab/>
        <w:t>(d)</w:t>
        <w:tab/>
      </w:r>
      <w:r>
        <w:rPr>
          <w:b/>
          <w:bCs/>
        </w:rPr>
        <w:t>Additional reserve for on-demand obligations.</w:t>
      </w:r>
      <w:r>
        <w:rPr/>
        <w:t xml:space="preserve">  An amount of reserve, which can be made effective within ten minutes, equal to on-demand obligations to other entities or control areas.</w:t>
      </w:r>
    </w:p>
    <w:p>
      <w:pPr>
        <w:pStyle w:val="Normal"/>
        <w:tabs>
          <w:tab w:val="clear" w:pos="720"/>
          <w:tab w:val="left" w:pos="2160" w:leader="none"/>
        </w:tabs>
        <w:ind w:hanging="1440" w:start="2880" w:end="1440"/>
        <w:rPr/>
      </w:pPr>
      <w:r>
        <w:rPr/>
      </w:r>
    </w:p>
    <w:p>
      <w:pPr>
        <w:pStyle w:val="Normal"/>
        <w:spacing w:lineRule="auto" w:line="480"/>
        <w:rPr/>
      </w:pPr>
      <w:r>
        <w:rPr/>
        <w:tab/>
        <w:t>The intent of these criteria is for the CAO to both continuously monitor (1) the dynamic parameters that determine the control area’s reserve requirements and (2) the CAO’s actual performance in meeting these parameters.  In this regard, MORC Section 1.A.3. states:</w:t>
      </w:r>
    </w:p>
    <w:p>
      <w:pPr>
        <w:pStyle w:val="Normal"/>
        <w:ind w:hanging="720" w:start="2160" w:end="1440"/>
        <w:rPr/>
      </w:pPr>
      <w:r>
        <w:rPr/>
        <w:t>3.</w:t>
        <w:tab/>
      </w:r>
      <w:r>
        <w:rPr>
          <w:b/>
          <w:bCs/>
        </w:rPr>
        <w:t>Knowledge of operating reserve.</w:t>
      </w:r>
      <w:r>
        <w:rPr/>
        <w:t xml:space="preserve">  Operating reserves shall be calculated such that the amount available which can be fully activated in the next ten minutes will be known at all times.</w:t>
      </w:r>
    </w:p>
    <w:p>
      <w:pPr>
        <w:pStyle w:val="Normal"/>
        <w:ind w:hanging="720" w:start="2160" w:end="1440"/>
        <w:rPr/>
      </w:pPr>
      <w:r>
        <w:rPr/>
      </w:r>
    </w:p>
    <w:p>
      <w:pPr>
        <w:pStyle w:val="Normal"/>
        <w:spacing w:lineRule="auto" w:line="480"/>
        <w:rPr/>
      </w:pPr>
      <w:r>
        <w:rPr/>
        <w:tab/>
        <w:t>MORC Section 1.A.4 requires the restoration of operating reserve as “promptly as practicable” (not to exceed 60 minutes) after any disturbance necessitating the use of contingency reserve.</w:t>
      </w:r>
      <w:r>
        <w:rPr>
          <w:rStyle w:val="FootnoteCharacters"/>
          <w:rStyle w:val="FootnoteReference"/>
        </w:rPr>
        <w:footnoteReference w:id="11"/>
      </w:r>
      <w:r>
        <w:rPr/>
        <w:t xml:space="preserve">  </w:t>
      </w:r>
    </w:p>
    <w:p>
      <w:pPr>
        <w:pStyle w:val="Normal"/>
        <w:spacing w:lineRule="auto" w:line="480"/>
        <w:rPr/>
      </w:pPr>
      <w:r>
        <w:rPr/>
        <w:tab/>
        <w:t xml:space="preserve">MORC Section 1.A.6 provides that the operating reserve requirements of two or more control areas may be combined or shared so long as such combination, considered as a single control area, meets the requirements of Section A.1.  One control area may supply a portion of another control area’s operating reserve where a firm transmission path is available for these operating reserves and the requirements of Section A.1 are otherwise satisfied.  </w:t>
      </w:r>
      <w:r>
        <w:rPr>
          <w:u w:val="single"/>
        </w:rPr>
        <w:t>Id.</w:t>
      </w:r>
    </w:p>
    <w:p>
      <w:pPr>
        <w:pStyle w:val="Normal"/>
        <w:spacing w:lineRule="auto" w:line="480"/>
        <w:rPr/>
      </w:pPr>
      <w:r>
        <w:rPr/>
        <w:tab/>
        <w:t xml:space="preserve">MORC Section 1.E.2(f) provides that the Minimum Operating Reserve will be increased by the “Contingency Reserve Adjustment Factor” (“CRAF”).  The WSCC Performance Work Group (“PWG”) will determine the CRAF for each control area no later than April 20, July 20, September 20, and January 20 for the previous quarter.  MORC Section 1.E.2(e).  The PWG will monitor the compliance of each control area and reserve sharing group to ensure that the Minimum Operating Reserve is maintained.  </w:t>
      </w:r>
      <w:r>
        <w:rPr>
          <w:u w:val="single"/>
        </w:rPr>
        <w:t>Id.</w:t>
      </w:r>
      <w:r>
        <w:rPr/>
        <w:t xml:space="preserve"> at Section 1.E.2(f).</w:t>
      </w:r>
    </w:p>
    <w:p>
      <w:pPr>
        <w:pStyle w:val="Normal"/>
        <w:spacing w:lineRule="auto" w:line="480"/>
        <w:ind w:hanging="720" w:start="2160" w:end="0"/>
        <w:rPr>
          <w:b/>
          <w:bCs/>
        </w:rPr>
      </w:pPr>
      <w:r>
        <w:rPr>
          <w:b/>
          <w:bCs/>
        </w:rPr>
        <w:t>2.</w:t>
        <w:tab/>
        <w:t>Planning Reserve</w:t>
      </w:r>
      <w:r>
        <w:fldChar w:fldCharType="begin"/>
      </w:r>
      <w:r>
        <w:rPr/>
        <w:instrText xml:space="preserve"> TC "2.</w:instrText>
        <w:tab/>
        <w:instrText xml:space="preserve">Planning Reserve" \l 3 </w:instrText>
      </w:r>
      <w:r>
        <w:rPr/>
        <w:fldChar w:fldCharType="separate"/>
      </w:r>
      <w:r>
        <w:rPr/>
      </w:r>
      <w:r>
        <w:rPr/>
        <w:fldChar w:fldCharType="end"/>
      </w:r>
      <w:bookmarkStart w:id="6" w:name="__RefHeading___Toc473367247"/>
      <w:bookmarkEnd w:id="6"/>
    </w:p>
    <w:p>
      <w:pPr>
        <w:pStyle w:val="Normal"/>
        <w:spacing w:lineRule="auto" w:line="480"/>
        <w:rPr/>
      </w:pPr>
      <w:r>
        <w:rPr/>
        <w:tab/>
        <w:t>The four WSCC subregions complete separate assessments in which resource adequacy is assessed by comparing the sum of the individual member reserve requirements (determined by criteria) for a subregion with the projected reserve capacity.</w:t>
      </w:r>
      <w:r>
        <w:rPr>
          <w:rStyle w:val="FootnoteCharacters"/>
          <w:rStyle w:val="FootnoteReference"/>
        </w:rPr>
        <w:footnoteReference w:id="12"/>
      </w:r>
      <w:r>
        <w:rPr/>
        <w:t xml:space="preserve">  As explained in the WSCC’s Regional “Self Assessment” included in the NERC RA:</w:t>
      </w:r>
    </w:p>
    <w:p>
      <w:pPr>
        <w:pStyle w:val="Normal"/>
        <w:ind w:start="1440" w:end="1440"/>
        <w:rPr/>
      </w:pPr>
      <w:r>
        <w:rPr/>
        <w:t>The projected reserve capacity (margin) is determined by subtracting the firm peak demand, exclusive of interruptible and controllable load management peak demand, from the net generation and firm transfers.  Net generation and firm transfers are determined exclusive of scheduled maintenance and inoperable capacity.  If the projected reserve capacity margin exceeds the reserve requirement, it is expected that projected resources are adequate for the subregion.</w:t>
      </w:r>
    </w:p>
    <w:p>
      <w:pPr>
        <w:pStyle w:val="Normal"/>
        <w:ind w:start="1440" w:end="1440"/>
        <w:rPr/>
      </w:pPr>
      <w:r>
        <w:rPr/>
      </w:r>
    </w:p>
    <w:p>
      <w:pPr>
        <w:pStyle w:val="Normal"/>
        <w:spacing w:lineRule="auto" w:line="480"/>
        <w:rPr>
          <w:u w:val="single"/>
        </w:rPr>
      </w:pPr>
      <w:r>
        <w:rPr>
          <w:u w:val="single"/>
        </w:rPr>
        <w:t>Id.</w:t>
      </w:r>
    </w:p>
    <w:p>
      <w:pPr>
        <w:pStyle w:val="Normal"/>
        <w:spacing w:lineRule="auto" w:line="480"/>
        <w:rPr/>
      </w:pPr>
      <w:r>
        <w:rPr/>
        <w:tab/>
        <w:t>For the ten-year planning period 1998 through 2007 the WSCC subregions calculated the following range of resource capacity margins:</w:t>
      </w:r>
    </w:p>
    <w:p>
      <w:pPr>
        <w:pStyle w:val="Normal"/>
        <w:spacing w:lineRule="auto" w:line="480"/>
        <w:rPr/>
      </w:pPr>
      <w:r>
        <w:rPr/>
        <w:tab/>
      </w:r>
      <w:r>
        <w:rPr>
          <w:u w:val="single"/>
        </w:rPr>
        <w:t>Subregion</w:t>
      </w:r>
      <w:r>
        <w:rPr/>
        <w:tab/>
        <w:tab/>
        <w:tab/>
        <w:tab/>
      </w:r>
      <w:r>
        <w:rPr>
          <w:u w:val="single"/>
        </w:rPr>
        <w:t>% of firm peak demand</w:t>
      </w:r>
    </w:p>
    <w:p>
      <w:pPr>
        <w:pStyle w:val="Normal"/>
        <w:spacing w:lineRule="auto" w:line="480"/>
        <w:rPr/>
      </w:pPr>
      <w:r>
        <w:rPr/>
        <w:tab/>
        <w:t>Northwest Power Pool Area</w:t>
        <w:tab/>
        <w:tab/>
        <w:tab/>
        <w:t>9-16</w:t>
      </w:r>
    </w:p>
    <w:p>
      <w:pPr>
        <w:pStyle w:val="Normal"/>
        <w:spacing w:lineRule="auto" w:line="480"/>
        <w:rPr/>
      </w:pPr>
      <w:r>
        <w:rPr/>
        <w:tab/>
        <w:t>Rocky Mountain Power Area</w:t>
        <w:tab/>
        <w:tab/>
        <w:tab/>
        <w:t>18-22</w:t>
      </w:r>
    </w:p>
    <w:p>
      <w:pPr>
        <w:pStyle w:val="Normal"/>
        <w:rPr/>
      </w:pPr>
      <w:r>
        <w:rPr/>
        <w:tab/>
        <w:t>Arizona-New Mexico-Southern</w:t>
      </w:r>
    </w:p>
    <w:p>
      <w:pPr>
        <w:pStyle w:val="Normal"/>
        <w:rPr/>
      </w:pPr>
      <w:r>
        <w:rPr/>
        <w:tab/>
        <w:t xml:space="preserve">  Nevada Power Area</w:t>
        <w:tab/>
        <w:tab/>
        <w:tab/>
        <w:tab/>
        <w:t>13-15</w:t>
      </w:r>
    </w:p>
    <w:p>
      <w:pPr>
        <w:pStyle w:val="Normal"/>
        <w:rPr/>
      </w:pPr>
      <w:r>
        <w:rPr/>
      </w:r>
    </w:p>
    <w:p>
      <w:pPr>
        <w:pStyle w:val="Normal"/>
        <w:rPr/>
      </w:pPr>
      <w:r>
        <w:rPr/>
        <w:tab/>
        <w:t>California-Mexico Power Area</w:t>
        <w:tab/>
        <w:tab/>
        <w:t>13-20</w:t>
      </w:r>
    </w:p>
    <w:p>
      <w:pPr>
        <w:pStyle w:val="Normal"/>
        <w:rPr/>
      </w:pPr>
      <w:r>
        <w:rPr/>
      </w:r>
    </w:p>
    <w:p>
      <w:pPr>
        <w:pStyle w:val="Normal"/>
        <w:spacing w:lineRule="auto" w:line="480"/>
        <w:rPr/>
      </w:pPr>
      <w:r>
        <w:rPr>
          <w:u w:val="single"/>
        </w:rPr>
        <w:t>Id.</w:t>
      </w:r>
      <w:r>
        <w:rPr/>
        <w:t xml:space="preserve"> at 65-68.</w:t>
      </w:r>
    </w:p>
    <w:p>
      <w:pPr>
        <w:pStyle w:val="Normal"/>
        <w:spacing w:lineRule="auto" w:line="480"/>
        <w:ind w:hanging="720" w:start="1440" w:end="0"/>
        <w:rPr>
          <w:b/>
          <w:bCs/>
        </w:rPr>
      </w:pPr>
      <w:r>
        <w:rPr>
          <w:b/>
          <w:bCs/>
        </w:rPr>
        <w:t>B.</w:t>
        <w:tab/>
      </w:r>
      <w:r>
        <w:rPr>
          <w:b/>
          <w:bCs/>
          <w:u w:val="single"/>
        </w:rPr>
        <w:t>Mid-America Interconnected Network</w:t>
      </w:r>
      <w:r>
        <w:rPr>
          <w:b/>
          <w:bCs/>
        </w:rPr>
        <w:t xml:space="preserve"> (“</w:t>
      </w:r>
      <w:r>
        <w:rPr>
          <w:b/>
          <w:bCs/>
          <w:u w:val="single"/>
        </w:rPr>
        <w:t>MAIN</w:t>
      </w:r>
      <w:r>
        <w:rPr>
          <w:b/>
          <w:bCs/>
        </w:rPr>
        <w:t>”)</w:t>
      </w:r>
      <w:r>
        <w:fldChar w:fldCharType="begin"/>
      </w:r>
      <w:r>
        <w:rPr/>
        <w:instrText xml:space="preserve"> TC "B.</w:instrText>
        <w:tab/>
        <w:instrText xml:space="preserve">Mid-America Interconnected Network (MAIN)" \l 2 </w:instrText>
      </w:r>
      <w:r>
        <w:rPr/>
        <w:fldChar w:fldCharType="separate"/>
      </w:r>
      <w:r>
        <w:rPr/>
      </w:r>
      <w:r>
        <w:rPr/>
        <w:fldChar w:fldCharType="end"/>
      </w:r>
      <w:bookmarkStart w:id="7" w:name="__RefHeading___Toc473367248"/>
      <w:bookmarkEnd w:id="7"/>
    </w:p>
    <w:p>
      <w:pPr>
        <w:pStyle w:val="Normal"/>
        <w:spacing w:lineRule="auto" w:line="480"/>
        <w:ind w:hanging="720" w:start="2160" w:end="0"/>
        <w:rPr>
          <w:b/>
          <w:bCs/>
        </w:rPr>
      </w:pPr>
      <w:r>
        <w:rPr>
          <w:b/>
          <w:bCs/>
        </w:rPr>
        <w:t>1.</w:t>
        <w:tab/>
        <w:t>Operating Reserve</w:t>
      </w:r>
      <w:r>
        <w:fldChar w:fldCharType="begin"/>
      </w:r>
      <w:r>
        <w:rPr/>
        <w:instrText xml:space="preserve"> TC "1.</w:instrText>
        <w:tab/>
        <w:instrText xml:space="preserve">Operating Reserve" \l 3 </w:instrText>
      </w:r>
      <w:r>
        <w:rPr/>
        <w:fldChar w:fldCharType="separate"/>
      </w:r>
      <w:r>
        <w:rPr/>
      </w:r>
      <w:r>
        <w:rPr/>
        <w:fldChar w:fldCharType="end"/>
      </w:r>
      <w:bookmarkStart w:id="8" w:name="__RefHeading___Toc473367249"/>
      <w:bookmarkEnd w:id="8"/>
    </w:p>
    <w:p>
      <w:pPr>
        <w:pStyle w:val="Normal"/>
        <w:spacing w:lineRule="auto" w:line="480"/>
        <w:rPr/>
      </w:pPr>
      <w:r>
        <w:rPr/>
        <w:tab/>
        <w:t>MAIN has established criteria for both the minimum level of Operating Reserve for the MAIN Region and the distribution of such reserves within MAIN.</w:t>
      </w:r>
      <w:r>
        <w:rPr>
          <w:rStyle w:val="FootnoteCharacters"/>
          <w:rStyle w:val="FootnoteReference"/>
        </w:rPr>
        <w:footnoteReference w:id="13"/>
      </w:r>
      <w:r>
        <w:rPr/>
        <w:t xml:space="preserve">  MG5A closely tracks NERC’s definition of Operating Reserve stating that:</w:t>
      </w:r>
    </w:p>
    <w:p>
      <w:pPr>
        <w:pStyle w:val="Normal"/>
        <w:ind w:start="1440" w:end="1440"/>
        <w:rPr/>
      </w:pPr>
      <w:r>
        <w:rPr/>
        <w:t>Operating Reserve is that capability above system demand required to provide for regulation, load forecasting error, equipment forced outages and area protection.  It consists of the sum of Spinning Reserve and Non-Spinning Reserve.</w:t>
      </w:r>
    </w:p>
    <w:p>
      <w:pPr>
        <w:pStyle w:val="Normal"/>
        <w:ind w:start="1440" w:end="1440"/>
        <w:rPr/>
      </w:pPr>
      <w:r>
        <w:rPr/>
      </w:r>
    </w:p>
    <w:p>
      <w:pPr>
        <w:pStyle w:val="Normal"/>
        <w:spacing w:lineRule="auto" w:line="480"/>
        <w:rPr/>
      </w:pPr>
      <w:r>
        <w:rPr>
          <w:u w:val="single"/>
        </w:rPr>
        <w:t>Id.</w:t>
      </w:r>
      <w:r>
        <w:rPr/>
        <w:t xml:space="preserve"> at 1.</w:t>
      </w:r>
    </w:p>
    <w:p>
      <w:pPr>
        <w:pStyle w:val="Normal"/>
        <w:spacing w:lineRule="auto" w:line="480"/>
        <w:rPr/>
      </w:pPr>
      <w:r>
        <w:rPr/>
        <w:tab/>
        <w:t>The minimum Operating Reserve required in the MAIN Region on any day:</w:t>
      </w:r>
    </w:p>
    <w:p>
      <w:pPr>
        <w:pStyle w:val="Normal"/>
        <w:ind w:start="1440" w:end="1440"/>
        <w:rPr/>
      </w:pPr>
      <w:r>
        <w:rPr/>
        <w:t>shall equal 100% of the gross capability of the Largest Resource planned to be in use in MAIN that day plus the sum of the individual systems’ Adequate Regulating Margins nominated for that day.  It is recognized that emergency assistance from systems in contiguous regions is available in most instances.</w:t>
      </w:r>
    </w:p>
    <w:p>
      <w:pPr>
        <w:pStyle w:val="Normal"/>
        <w:ind w:start="1440" w:end="1440"/>
        <w:rPr/>
      </w:pPr>
      <w:r>
        <w:rPr/>
      </w:r>
    </w:p>
    <w:p>
      <w:pPr>
        <w:pStyle w:val="Normal"/>
        <w:spacing w:lineRule="auto" w:line="480"/>
        <w:rPr/>
      </w:pPr>
      <w:r>
        <w:rPr/>
        <w:t>MG5A at 4.</w:t>
      </w:r>
    </w:p>
    <w:p>
      <w:pPr>
        <w:pStyle w:val="Normal"/>
        <w:spacing w:lineRule="auto" w:line="480"/>
        <w:rPr/>
      </w:pPr>
      <w:r>
        <w:rPr/>
        <w:tab/>
        <w:t xml:space="preserve">“Adequate Regulation Margin” (“ARM”) is defined as that portion of Spinning Reserve capacity required to respond to all normal, minute-to-minute demand changes in order to meet NERC Control Performance Criteria.  </w:t>
      </w:r>
      <w:r>
        <w:rPr>
          <w:u w:val="single"/>
        </w:rPr>
        <w:t>Id.</w:t>
      </w:r>
      <w:r>
        <w:rPr/>
        <w:t xml:space="preserve"> at 1.</w:t>
      </w:r>
      <w:r>
        <w:rPr>
          <w:rStyle w:val="FootnoteCharacters"/>
          <w:rStyle w:val="FootnoteReference"/>
        </w:rPr>
        <w:footnoteReference w:id="14"/>
      </w:r>
      <w:r>
        <w:rPr/>
        <w:t xml:space="preserve">  “Spinning Reserve” is defined as “that amount of unloaded generation which is synchronized, ready to serve additional demand and which can be fully applied in 10 minutes.”  </w:t>
      </w:r>
      <w:r>
        <w:rPr>
          <w:u w:val="single"/>
        </w:rPr>
        <w:t>Id.</w:t>
      </w:r>
      <w:r>
        <w:rPr/>
        <w:t xml:space="preserve">  Except for the amount required to provide ARM, Spinning Reserve may include:  (1) power deliveries that can be recovered fully within 10 minutes and (2) unloaded generation held as Spinning Reserve on another system and available to be fully applied in 10 minutes.  </w:t>
      </w:r>
      <w:r>
        <w:rPr>
          <w:u w:val="single"/>
        </w:rPr>
        <w:t>Id.</w:t>
      </w:r>
      <w:r>
        <w:rPr/>
        <w:t xml:space="preserve"> at 1-2.</w:t>
      </w:r>
    </w:p>
    <w:p>
      <w:pPr>
        <w:pStyle w:val="Normal"/>
        <w:spacing w:lineRule="auto" w:line="480"/>
        <w:rPr/>
      </w:pPr>
      <w:r>
        <w:rPr/>
        <w:tab/>
        <w:t xml:space="preserve">The minimum level of Spinning Reserve required for the MAIN region must equal the sum of the individual systems’ ARMs, plus 50% of the quantity of the minimum level of Operating Reserve less the sum of the individual systems’ ARMs.  </w:t>
      </w:r>
      <w:r>
        <w:rPr>
          <w:u w:val="single"/>
        </w:rPr>
        <w:t>Id.</w:t>
      </w:r>
      <w:r>
        <w:rPr/>
        <w:t xml:space="preserve"> at 5.  This recognizes that the systems have effective Non-Spinning</w:t>
      </w:r>
      <w:r>
        <w:rPr>
          <w:rStyle w:val="FootnoteCharacters"/>
          <w:rStyle w:val="FootnoteReference"/>
        </w:rPr>
        <w:footnoteReference w:id="15"/>
      </w:r>
      <w:r>
        <w:rPr/>
        <w:t xml:space="preserve"> capacity and that the use of such capacity as a component of the Operating Reserve is practical and consistent with good operating practices.</w:t>
      </w:r>
    </w:p>
    <w:p>
      <w:pPr>
        <w:pStyle w:val="Normal"/>
        <w:spacing w:lineRule="auto" w:line="480"/>
        <w:rPr/>
      </w:pPr>
      <w:r>
        <w:rPr/>
        <w:tab/>
        <w:t xml:space="preserve">MG5A specifies how the Operating Reserve is to be distributed among MAIN’s member systems or control areas during different time periods.  </w:t>
      </w:r>
      <w:r>
        <w:rPr>
          <w:u w:val="single"/>
        </w:rPr>
        <w:t>Id.</w:t>
      </w:r>
      <w:r>
        <w:rPr/>
        <w:t xml:space="preserve"> at 5-6.  It also provides that the Operating Reserve will be made available to entities within and outside MAIN upon request and provides for maintenance of the Operating Reserve requirement.  </w:t>
      </w:r>
      <w:r>
        <w:rPr>
          <w:u w:val="single"/>
        </w:rPr>
        <w:t>Id.</w:t>
      </w:r>
      <w:r>
        <w:rPr/>
        <w:t xml:space="preserve"> at 7.  Addendum No. 1 to MG5A lists requirements for purchases to qualify as Operating Reserve resources.  </w:t>
      </w:r>
      <w:r>
        <w:rPr>
          <w:u w:val="single"/>
        </w:rPr>
        <w:t xml:space="preserve">Id. </w:t>
      </w:r>
      <w:r>
        <w:rPr/>
        <w:t>at 8-10.</w:t>
      </w:r>
    </w:p>
    <w:p>
      <w:pPr>
        <w:pStyle w:val="Normal"/>
        <w:spacing w:lineRule="auto" w:line="480"/>
        <w:ind w:hanging="720" w:start="2160" w:end="0"/>
        <w:rPr/>
      </w:pPr>
      <w:r>
        <w:rPr>
          <w:b/>
          <w:bCs/>
        </w:rPr>
        <w:t>2.</w:t>
        <w:tab/>
        <w:t>Planning Reserve</w:t>
      </w:r>
      <w:r>
        <w:fldChar w:fldCharType="begin"/>
      </w:r>
      <w:r>
        <w:rPr/>
        <w:instrText xml:space="preserve"> TC "2.</w:instrText>
        <w:tab/>
        <w:instrText xml:space="preserve">Planning Reserve" \l 3 </w:instrText>
      </w:r>
      <w:r>
        <w:rPr/>
        <w:fldChar w:fldCharType="separate"/>
      </w:r>
      <w:r>
        <w:rPr/>
      </w:r>
      <w:r>
        <w:rPr/>
        <w:fldChar w:fldCharType="end"/>
      </w:r>
      <w:bookmarkStart w:id="9" w:name="__RefHeading___Toc473367250"/>
      <w:bookmarkEnd w:id="9"/>
    </w:p>
    <w:p>
      <w:pPr>
        <w:pStyle w:val="Normal"/>
        <w:spacing w:lineRule="auto" w:line="480"/>
        <w:rPr/>
      </w:pPr>
      <w:r>
        <w:rPr/>
        <w:tab/>
        <w:t>In 1996, MAIN adopted a policy suggesting that MAIN companies maintain a minimum planning reserve margin of 17-20% (14.5-16.7% capacity margin).</w:t>
      </w:r>
      <w:r>
        <w:rPr>
          <w:rStyle w:val="FootnoteCharacters"/>
          <w:rStyle w:val="FootnoteReference"/>
        </w:rPr>
        <w:footnoteReference w:id="16"/>
      </w:r>
      <w:r>
        <w:rPr/>
        <w:t xml:space="preserve">  The planned generating capacity in MAIN for 2007 is expected to result in a reserve margin of 19% (16% capacity margin).  </w:t>
      </w:r>
      <w:r>
        <w:rPr>
          <w:u w:val="single"/>
        </w:rPr>
        <w:t>Id.</w:t>
      </w:r>
    </w:p>
    <w:p>
      <w:pPr>
        <w:pStyle w:val="Normal"/>
        <w:spacing w:lineRule="auto" w:line="480"/>
        <w:rPr/>
      </w:pPr>
      <w:r>
        <w:rPr/>
        <w:tab/>
        <w:t xml:space="preserve">Based on the results of the January 1999 generation reliability study, the MAIN Guide #6 Working Group concluded that a long-range planning reserve requirement of 17% is sufficient to meet MAIN’s adequacy reliability criteria.  </w:t>
      </w:r>
      <w:r>
        <w:rPr>
          <w:u w:val="single"/>
        </w:rPr>
        <w:t>Id.</w:t>
      </w:r>
      <w:r>
        <w:rPr/>
        <w:t xml:space="preserve"> at 7.</w:t>
      </w:r>
    </w:p>
    <w:p>
      <w:pPr>
        <w:pStyle w:val="Normal"/>
        <w:spacing w:lineRule="auto" w:line="480"/>
        <w:ind w:hanging="720" w:start="1440" w:end="0"/>
        <w:rPr/>
      </w:pPr>
      <w:r>
        <w:rPr>
          <w:b/>
          <w:bCs/>
        </w:rPr>
        <w:t>C.</w:t>
        <w:tab/>
      </w:r>
      <w:r>
        <w:rPr>
          <w:b/>
          <w:bCs/>
          <w:u w:val="single"/>
        </w:rPr>
        <w:t>Electric Reliability Council of Texas, Inc.</w:t>
      </w:r>
      <w:r>
        <w:rPr>
          <w:b/>
          <w:bCs/>
        </w:rPr>
        <w:t xml:space="preserve"> (“</w:t>
      </w:r>
      <w:r>
        <w:rPr>
          <w:b/>
          <w:bCs/>
          <w:u w:val="single"/>
        </w:rPr>
        <w:t>ERCOT</w:t>
      </w:r>
      <w:r>
        <w:rPr>
          <w:b/>
          <w:bCs/>
        </w:rPr>
        <w:t>”)</w:t>
      </w:r>
      <w:r>
        <w:fldChar w:fldCharType="begin"/>
      </w:r>
      <w:r>
        <w:rPr/>
        <w:instrText xml:space="preserve"> TC "C.</w:instrText>
        <w:tab/>
        <w:instrText xml:space="preserve">Electric Reliability Council of Texas, Inc. (ERCOT)" \l 2 </w:instrText>
      </w:r>
      <w:r>
        <w:rPr/>
        <w:fldChar w:fldCharType="separate"/>
      </w:r>
      <w:r>
        <w:rPr/>
      </w:r>
      <w:r>
        <w:rPr/>
        <w:fldChar w:fldCharType="end"/>
      </w:r>
      <w:bookmarkStart w:id="10" w:name="__RefHeading___Toc473367251"/>
      <w:bookmarkEnd w:id="10"/>
    </w:p>
    <w:p>
      <w:pPr>
        <w:pStyle w:val="Normal"/>
        <w:spacing w:lineRule="auto" w:line="480"/>
        <w:ind w:hanging="720" w:start="2160" w:end="0"/>
        <w:rPr>
          <w:b/>
          <w:bCs/>
        </w:rPr>
      </w:pPr>
      <w:r>
        <w:rPr>
          <w:b/>
          <w:bCs/>
        </w:rPr>
        <w:t>1.</w:t>
        <w:tab/>
        <w:t>Operating Reserve</w:t>
      </w:r>
      <w:r>
        <w:fldChar w:fldCharType="begin"/>
      </w:r>
      <w:r>
        <w:rPr/>
        <w:instrText xml:space="preserve"> TC "1.</w:instrText>
        <w:tab/>
        <w:instrText xml:space="preserve">Operating Reserve" \l 3 </w:instrText>
      </w:r>
      <w:r>
        <w:rPr/>
        <w:fldChar w:fldCharType="separate"/>
      </w:r>
      <w:r>
        <w:rPr/>
      </w:r>
      <w:r>
        <w:rPr/>
        <w:fldChar w:fldCharType="end"/>
      </w:r>
      <w:bookmarkStart w:id="11" w:name="__RefHeading___Toc473367252"/>
      <w:bookmarkEnd w:id="11"/>
    </w:p>
    <w:p>
      <w:pPr>
        <w:pStyle w:val="Normal"/>
        <w:spacing w:lineRule="auto" w:line="480"/>
        <w:rPr/>
      </w:pPr>
      <w:r>
        <w:rPr/>
        <w:tab/>
        <w:t>ERCOT’s “Operating Guide No. II - System Security” (“OG No. II”) states that the ERCOT “Responsive Reserve Obligation” (“RRO”) is 2300 MW.</w:t>
      </w:r>
      <w:r>
        <w:rPr>
          <w:rStyle w:val="FootnoteCharacters"/>
          <w:rStyle w:val="FootnoteReference"/>
        </w:rPr>
        <w:footnoteReference w:id="17"/>
      </w:r>
      <w:r>
        <w:rPr/>
        <w:t xml:space="preserve">  Each Load Entity must maintain its allocated RRO.</w:t>
      </w:r>
      <w:r>
        <w:rPr>
          <w:rStyle w:val="FootnoteCharacters"/>
          <w:rStyle w:val="FootnoteReference"/>
        </w:rPr>
        <w:footnoteReference w:id="18"/>
      </w:r>
      <w:r>
        <w:rPr/>
        <w:t xml:space="preserve">  Any purchase of Responsive Reserve must be limited to the transfer capacity of the transmission system as determined by the ISO.</w:t>
      </w:r>
    </w:p>
    <w:p>
      <w:pPr>
        <w:pStyle w:val="Normal"/>
        <w:spacing w:lineRule="auto" w:line="480"/>
        <w:rPr/>
      </w:pPr>
      <w:r>
        <w:rPr/>
        <w:tab/>
        <w:t xml:space="preserve">OG No. II identifies four types of “Responsive Reserve” denominated as “Responsive Spinning Reserve,”  “Interruptible Responsive Reserve,” “DC Tie Responsive Reserve,” and “Hydro Responsive Reserve.”  ERCOT OG at 72-73.  The Interruptible and Hydro Responsive Reserves may not exceed 25% of the ERCOT total RRO and no Load Entity may obtain more than 25% of their RRO from Interruptible or Hydro Responsive Reserves.  </w:t>
      </w:r>
      <w:r>
        <w:rPr>
          <w:u w:val="single"/>
        </w:rPr>
        <w:t>Id.</w:t>
      </w:r>
      <w:r>
        <w:rPr/>
        <w:t xml:space="preserve"> at 74.</w:t>
      </w:r>
    </w:p>
    <w:p>
      <w:pPr>
        <w:pStyle w:val="Normal"/>
        <w:spacing w:lineRule="auto" w:line="480"/>
        <w:rPr/>
      </w:pPr>
      <w:r>
        <w:rPr/>
        <w:tab/>
        <w:t xml:space="preserve">For Responsive Spinning Reserve, OG No. II provides that no more than 20% of the Net Dependable Capability (“NDC”) for any thermal unit can be used as Responsive Reserve.  </w:t>
      </w:r>
      <w:r>
        <w:rPr>
          <w:u w:val="single"/>
        </w:rPr>
        <w:t>Id.</w:t>
      </w:r>
      <w:r>
        <w:rPr/>
        <w:t xml:space="preserve"> at 72.  Similarly, no more than 20% of the NDC for any hydro unit with a 5% droop setting operating as a generator or synchronous condenser can be used as Responsive Reserve.  </w:t>
      </w:r>
      <w:r>
        <w:rPr>
          <w:u w:val="single"/>
        </w:rPr>
        <w:t>Id.</w:t>
      </w:r>
      <w:r>
        <w:rPr/>
        <w:t xml:space="preserve"> </w:t>
      </w:r>
    </w:p>
    <w:p>
      <w:pPr>
        <w:pStyle w:val="Normal"/>
        <w:spacing w:lineRule="auto" w:line="480"/>
        <w:rPr/>
      </w:pPr>
      <w:r>
        <w:rPr/>
        <w:tab/>
        <w:t xml:space="preserve">Interruptible Responsive Reserve (“IRR”) may be Interruptible Load controlled by under-frequency relays for automatic interruption.  OG No. II sets forth five criteria that Interruptible Load must meet to qualify as IRR.  </w:t>
      </w:r>
      <w:r>
        <w:rPr>
          <w:u w:val="single"/>
        </w:rPr>
        <w:t>Id.</w:t>
      </w:r>
      <w:r>
        <w:rPr/>
        <w:t xml:space="preserve"> at 72-73.  A “DC Tie” may be used as Responsive Reserve up to 30 MW subject to specified constraints.  </w:t>
      </w:r>
      <w:r>
        <w:rPr>
          <w:u w:val="single"/>
        </w:rPr>
        <w:t>Id.</w:t>
      </w:r>
      <w:r>
        <w:rPr/>
        <w:t xml:space="preserve"> at 73. Hydro Responsive Reserve can be comprised of Hydro Unit(s) operating in synchronous condenser fast response if the units meet certain specifications.  </w:t>
      </w:r>
      <w:r>
        <w:rPr>
          <w:u w:val="single"/>
        </w:rPr>
        <w:t>Id.</w:t>
      </w:r>
      <w:r>
        <w:rPr/>
        <w:t xml:space="preserve">  </w:t>
      </w:r>
    </w:p>
    <w:p>
      <w:pPr>
        <w:pStyle w:val="Normal"/>
        <w:spacing w:lineRule="auto" w:line="480"/>
        <w:ind w:hanging="720" w:start="2160" w:end="0"/>
        <w:rPr/>
      </w:pPr>
      <w:r>
        <w:rPr>
          <w:b/>
          <w:bCs/>
        </w:rPr>
        <w:t>2.</w:t>
        <w:tab/>
        <w:t>Planning Reserve</w:t>
      </w:r>
      <w:r>
        <w:fldChar w:fldCharType="begin"/>
      </w:r>
      <w:r>
        <w:rPr/>
        <w:instrText xml:space="preserve"> TC "2.</w:instrText>
        <w:tab/>
        <w:instrText xml:space="preserve">Planning Reserve" \l 3 </w:instrText>
      </w:r>
      <w:r>
        <w:rPr/>
        <w:fldChar w:fldCharType="separate"/>
      </w:r>
      <w:r>
        <w:rPr/>
      </w:r>
      <w:r>
        <w:rPr/>
        <w:fldChar w:fldCharType="end"/>
      </w:r>
      <w:bookmarkStart w:id="12" w:name="__RefHeading___Toc473367253"/>
      <w:bookmarkEnd w:id="12"/>
    </w:p>
    <w:p>
      <w:pPr>
        <w:pStyle w:val="Normal"/>
        <w:spacing w:lineRule="auto" w:line="480"/>
        <w:rPr/>
      </w:pPr>
      <w:r>
        <w:rPr>
          <w:b/>
          <w:bCs/>
        </w:rPr>
        <w:tab/>
      </w:r>
      <w:r>
        <w:rPr/>
        <w:t xml:space="preserve">The ERCOT Planning Criteria (revised August 6, 1998) provide that each ERCOT load entity must provide forecasted net capability, on an annual planning basis, “to ensure a reserve margin of at least 15 percent of its forecasted annual maximum hourly firm demand (alternatively expressible as a capacity margin of 13 percent.)”  Individual ERCOT members are responsible for developing resource plans which provide sufficient generating capacity plus firm power purchases to ensure that their reserve margin meets the 15 percent minimum reserve margin.  In its Regional Self Assessment, ERCOT indicated that its reserve margin will fall below 15% due to increasing peak demands.  </w:t>
      </w:r>
      <w:r>
        <w:rPr>
          <w:u w:val="single"/>
        </w:rPr>
        <w:t>See</w:t>
      </w:r>
      <w:r>
        <w:rPr/>
        <w:t xml:space="preserve"> NERC RA at 44.</w:t>
      </w:r>
    </w:p>
    <w:p>
      <w:pPr>
        <w:pStyle w:val="Normal"/>
        <w:spacing w:lineRule="auto" w:line="480"/>
        <w:ind w:start="720" w:end="0"/>
        <w:rPr/>
      </w:pPr>
      <w:r>
        <w:rPr>
          <w:b/>
          <w:bCs/>
        </w:rPr>
        <w:t>D.</w:t>
        <w:tab/>
      </w:r>
      <w:r>
        <w:rPr>
          <w:b/>
          <w:bCs/>
          <w:u w:val="single"/>
        </w:rPr>
        <w:t>East Central Area Reliability Coordination Agreement Region</w:t>
      </w:r>
      <w:r>
        <w:rPr>
          <w:b/>
          <w:bCs/>
        </w:rPr>
        <w:t xml:space="preserve"> (“</w:t>
      </w:r>
      <w:r>
        <w:rPr>
          <w:b/>
          <w:bCs/>
          <w:u w:val="single"/>
        </w:rPr>
        <w:t>ECAR</w:t>
      </w:r>
      <w:r>
        <w:rPr>
          <w:b/>
          <w:bCs/>
        </w:rPr>
        <w:t>”)</w:t>
      </w:r>
      <w:r>
        <w:fldChar w:fldCharType="begin"/>
      </w:r>
      <w:r>
        <w:rPr/>
        <w:instrText xml:space="preserve"> TC "D.</w:instrText>
        <w:tab/>
        <w:instrText xml:space="preserve">East Central Area Reliability Coordination Agreement Region (ECAR)" \l 2 </w:instrText>
      </w:r>
      <w:r>
        <w:rPr/>
        <w:fldChar w:fldCharType="separate"/>
      </w:r>
      <w:r>
        <w:rPr/>
      </w:r>
      <w:r>
        <w:rPr/>
        <w:fldChar w:fldCharType="end"/>
      </w:r>
      <w:bookmarkStart w:id="13" w:name="__RefHeading___Toc473367254"/>
      <w:bookmarkEnd w:id="13"/>
      <w:r>
        <w:rPr>
          <w:b/>
          <w:bCs/>
          <w:u w:val="single"/>
        </w:rPr>
        <w:t xml:space="preserve"> </w:t>
      </w:r>
    </w:p>
    <w:p>
      <w:pPr>
        <w:pStyle w:val="Normal"/>
        <w:spacing w:lineRule="auto" w:line="480"/>
        <w:ind w:start="1440" w:end="0"/>
        <w:rPr>
          <w:b/>
          <w:bCs/>
        </w:rPr>
      </w:pPr>
      <w:r>
        <w:rPr>
          <w:b/>
          <w:bCs/>
        </w:rPr>
        <w:t>1.</w:t>
        <w:tab/>
        <w:t>Operating Reserve</w:t>
      </w:r>
      <w:r>
        <w:fldChar w:fldCharType="begin"/>
      </w:r>
      <w:r>
        <w:rPr/>
        <w:instrText xml:space="preserve"> TC "1.</w:instrText>
        <w:tab/>
        <w:instrText xml:space="preserve">Operating Reserve" \l 3 </w:instrText>
      </w:r>
      <w:r>
        <w:rPr/>
        <w:fldChar w:fldCharType="separate"/>
      </w:r>
      <w:r>
        <w:rPr/>
      </w:r>
      <w:r>
        <w:rPr/>
        <w:fldChar w:fldCharType="end"/>
      </w:r>
      <w:bookmarkStart w:id="14" w:name="__RefHeading___Toc473367255"/>
      <w:bookmarkEnd w:id="14"/>
    </w:p>
    <w:p>
      <w:pPr>
        <w:pStyle w:val="Normal"/>
        <w:spacing w:lineRule="auto" w:line="480"/>
        <w:rPr/>
      </w:pPr>
      <w:r>
        <w:rPr>
          <w:b/>
          <w:bCs/>
        </w:rPr>
        <w:tab/>
      </w:r>
      <w:r>
        <w:rPr/>
        <w:t>ECAR defines</w:t>
      </w:r>
      <w:r>
        <w:rPr>
          <w:rStyle w:val="FootnoteCharacters"/>
          <w:rStyle w:val="FootnoteReference"/>
        </w:rPr>
        <w:footnoteReference w:id="19"/>
      </w:r>
      <w:r>
        <w:rPr/>
        <w:t xml:space="preserve"> Daily Operating Reserve (“DOR”) as:</w:t>
      </w:r>
    </w:p>
    <w:p>
      <w:pPr>
        <w:pStyle w:val="Normal"/>
        <w:ind w:start="1440" w:end="1440"/>
        <w:rPr/>
      </w:pPr>
      <w:r>
        <w:rPr>
          <w:b/>
          <w:bCs/>
        </w:rPr>
        <w:t>Daily Operating Reserve</w:t>
      </w:r>
      <w:r>
        <w:rPr/>
        <w:t xml:space="preserve"> - The amount of Load and Frequency Regulation, Contingency Spinning Reserve and Contingency Supplemental Reserve which is available to provide for load variation, frequency regulation, unexpected contingencies, and to prevent the loss of, or inability to serve, firm load.</w:t>
      </w:r>
    </w:p>
    <w:p>
      <w:pPr>
        <w:pStyle w:val="Normal"/>
        <w:ind w:start="1440" w:end="1440"/>
        <w:rPr/>
      </w:pPr>
      <w:r>
        <w:rPr/>
      </w:r>
    </w:p>
    <w:p>
      <w:pPr>
        <w:pStyle w:val="Normal"/>
        <w:spacing w:lineRule="auto" w:line="480"/>
        <w:rPr/>
      </w:pPr>
      <w:r>
        <w:rPr/>
        <w:tab/>
        <w:t>ECAR Doc. No. 2 provides (at 4-5) that each system in every ECAR Control Area must provide or arrange to be provided, as a minimum,</w:t>
      </w:r>
      <w:r>
        <w:rPr>
          <w:rStyle w:val="FootnoteCharacters"/>
          <w:rStyle w:val="FootnoteReference"/>
        </w:rPr>
        <w:footnoteReference w:id="20"/>
      </w:r>
      <w:r>
        <w:rPr/>
        <w:t xml:space="preserve"> DOR equal to the sum of Load and Frequency Regulation Reserve and Contingency Reserve as follows:</w:t>
      </w:r>
    </w:p>
    <w:p>
      <w:pPr>
        <w:pStyle w:val="Normal"/>
        <w:ind w:hanging="720" w:start="2160" w:end="1440"/>
        <w:rPr/>
      </w:pPr>
      <w:r>
        <w:rPr/>
        <w:t>1.</w:t>
        <w:tab/>
      </w:r>
      <w:r>
        <w:rPr>
          <w:b/>
          <w:bCs/>
        </w:rPr>
        <w:t>Load and Frequency Regulation Reserve</w:t>
      </w:r>
      <w:r>
        <w:rPr/>
        <w:t xml:space="preserve"> - Spinning Reserve</w:t>
      </w:r>
      <w:r>
        <w:rPr>
          <w:vertAlign w:val="superscript"/>
        </w:rPr>
        <w:t>[</w:t>
      </w:r>
      <w:r>
        <w:rPr>
          <w:rStyle w:val="FootnoteCharacters"/>
          <w:rStyle w:val="FootnoteReference"/>
        </w:rPr>
        <w:footnoteReference w:id="21"/>
      </w:r>
      <w:r>
        <w:rPr>
          <w:vertAlign w:val="superscript"/>
        </w:rPr>
        <w:t>]</w:t>
      </w:r>
      <w:r>
        <w:rPr/>
        <w:t xml:space="preserve"> equal to a minimum of 1 percent of that System’s maximum 60-minute integrated clock hour Internal Load projected for the day, to provide for load and frequency regulation.  This portion of the Daily Operating Reserve shall be Spinning Reserve and reside within the metered boundaries of the Control Area where the System is located.</w:t>
      </w:r>
    </w:p>
    <w:p>
      <w:pPr>
        <w:pStyle w:val="Normal"/>
        <w:ind w:hanging="720" w:start="2160" w:end="1440"/>
        <w:rPr/>
      </w:pPr>
      <w:r>
        <w:rPr/>
      </w:r>
    </w:p>
    <w:p>
      <w:pPr>
        <w:pStyle w:val="Normal"/>
        <w:ind w:hanging="720" w:start="2160" w:end="1440"/>
        <w:rPr/>
      </w:pPr>
      <w:r>
        <w:rPr/>
        <w:t>2.</w:t>
        <w:tab/>
      </w:r>
      <w:r>
        <w:rPr>
          <w:b/>
          <w:bCs/>
        </w:rPr>
        <w:t>Contingency Reserve</w:t>
      </w:r>
      <w:r>
        <w:rPr/>
        <w:t xml:space="preserve"> - The amount of Contingency Spinning and Contingency Supplemental Reserves that each Control Area must carry for the protection against an unexpected loss of generating resources and to prevent the loss of, or inability to serve, firm load.  Contingency Reserve amounts are equal to a minimum of 3 percent of that System’s maximum 60-minute integrated clock hour Internal Load projected for the day.  At least 50% of the Contingency Reserve requirement must be Contingency Spinning Reserve, while the remaining portion can be Contingency Supplemental Reserve.</w:t>
      </w:r>
    </w:p>
    <w:p>
      <w:pPr>
        <w:pStyle w:val="Normal"/>
        <w:ind w:hanging="720" w:start="2160" w:end="1440"/>
        <w:rPr/>
      </w:pPr>
      <w:r>
        <w:rPr/>
      </w:r>
    </w:p>
    <w:p>
      <w:pPr>
        <w:pStyle w:val="Normal"/>
        <w:ind w:hanging="720" w:start="2880" w:end="1440"/>
        <w:rPr/>
      </w:pPr>
      <w:r>
        <w:rPr/>
        <w:t>a.</w:t>
        <w:tab/>
      </w:r>
      <w:r>
        <w:rPr>
          <w:b/>
          <w:bCs/>
        </w:rPr>
        <w:t>Contingency Spinning Reserve</w:t>
      </w:r>
      <w:r>
        <w:rPr/>
        <w:t xml:space="preserve"> - Spinning Reserve which resides within the metered boundaries of the Control Area where the System is located, and is available immediately upon request.  Control Areas are required to restore the Contingency Spinning Reserve to the amount specified in Section B.2. after the completion of Automatic Reserve Sharing, which currently is from 30 to 59 minutes depending upon the start of the contingency.</w:t>
      </w:r>
    </w:p>
    <w:p>
      <w:pPr>
        <w:pStyle w:val="Normal"/>
        <w:ind w:hanging="720" w:start="2880" w:end="1440"/>
        <w:rPr/>
      </w:pPr>
      <w:r>
        <w:rPr/>
      </w:r>
    </w:p>
    <w:p>
      <w:pPr>
        <w:pStyle w:val="Normal"/>
        <w:ind w:hanging="720" w:start="2880" w:end="1440"/>
        <w:rPr/>
      </w:pPr>
      <w:r>
        <w:rPr/>
        <w:t>b.</w:t>
        <w:tab/>
      </w:r>
      <w:r>
        <w:rPr>
          <w:b/>
          <w:bCs/>
        </w:rPr>
        <w:t>Contingency Supplemental Reserve</w:t>
      </w:r>
      <w:r>
        <w:rPr/>
        <w:t xml:space="preserve"> - A combination of spinning reserve, qualified interruptible load, qualified quick-start generating resources, or qualified assistance from another System which can be fully utilized within ten minutes and which must be available immediately upon request.  Control Areas are required to restore the Contingency Supplemental Reserve to the amount specified in Section B.2. within one hour after the Automatic Reserve Sharing period.  Contingency Supplemental Reserve must be capable of being used continuously for at least four hours.  Contingency Supplemental Reserve may be allocated among the acceptable components in any combination within the following prescribed limits.</w:t>
      </w:r>
    </w:p>
    <w:p>
      <w:pPr>
        <w:pStyle w:val="Normal"/>
        <w:ind w:hanging="810" w:start="810" w:end="630"/>
        <w:rPr/>
      </w:pPr>
      <w:r>
        <w:rPr/>
      </w:r>
    </w:p>
    <w:p>
      <w:pPr>
        <w:pStyle w:val="Normal"/>
        <w:ind w:hanging="720" w:start="3600" w:end="1440"/>
        <w:rPr/>
      </w:pPr>
      <w:r>
        <w:rPr/>
        <w:t>?</w:t>
        <w:tab/>
        <w:t>0-100 percent Spinning Reserve which may be fully utilized within ten minutes.</w:t>
      </w:r>
    </w:p>
    <w:p>
      <w:pPr>
        <w:pStyle w:val="Normal"/>
        <w:ind w:hanging="720" w:start="3600" w:end="1440"/>
        <w:rPr/>
      </w:pPr>
      <w:r>
        <w:rPr/>
      </w:r>
    </w:p>
    <w:p>
      <w:pPr>
        <w:pStyle w:val="Normal"/>
        <w:ind w:hanging="720" w:start="3600" w:end="1440"/>
        <w:rPr/>
      </w:pPr>
      <w:r>
        <w:rPr/>
        <w:t>?</w:t>
        <w:tab/>
        <w:t>0-100 percent non-Spinning Reserve which may be fully utilized within ten minutes and which may include:</w:t>
      </w:r>
    </w:p>
    <w:p>
      <w:pPr>
        <w:pStyle w:val="Normal"/>
        <w:rPr/>
      </w:pPr>
      <w:r>
        <w:rPr/>
      </w:r>
    </w:p>
    <w:p>
      <w:pPr>
        <w:pStyle w:val="Normal"/>
        <w:ind w:start="3600" w:end="1440"/>
        <w:rPr/>
      </w:pPr>
      <w:r>
        <w:rPr/>
        <w:t>Qualified Interruptible Load</w:t>
      </w:r>
    </w:p>
    <w:p>
      <w:pPr>
        <w:pStyle w:val="Normal"/>
        <w:ind w:start="3600" w:end="1440"/>
        <w:rPr/>
      </w:pPr>
      <w:r>
        <w:rPr/>
        <w:t>Qualified Quick-Start Generating Resources</w:t>
      </w:r>
    </w:p>
    <w:p>
      <w:pPr>
        <w:pStyle w:val="Normal"/>
        <w:rPr/>
      </w:pPr>
      <w:r>
        <w:rPr/>
      </w:r>
    </w:p>
    <w:p>
      <w:pPr>
        <w:pStyle w:val="Normal"/>
        <w:ind w:hanging="720" w:start="3600" w:end="1440"/>
        <w:rPr/>
      </w:pPr>
      <w:r>
        <w:rPr/>
        <w:t>?</w:t>
        <w:tab/>
        <w:t>0-100 percent of Qualified Contingency Assistance from another System(s), which is fully applicable within ten minutes.</w:t>
      </w:r>
    </w:p>
    <w:p>
      <w:pPr>
        <w:pStyle w:val="Normal"/>
        <w:ind w:hanging="720" w:start="3600" w:end="1440"/>
        <w:rPr/>
      </w:pPr>
      <w:r>
        <w:rPr/>
      </w:r>
    </w:p>
    <w:p>
      <w:pPr>
        <w:pStyle w:val="Normal"/>
        <w:spacing w:lineRule="auto" w:line="480"/>
        <w:rPr/>
      </w:pPr>
      <w:r>
        <w:rPr/>
        <w:tab/>
        <w:t>Qualified Interruptible Load, Quick-Start Generating Resources and Qualified Contingency Assistance must meet the requirements of Subsection C.1. and the reporting requirements of Subsection C.2. of ECAR Doc. No. 2.  They also must be subject to at least four hours of continuous use to be qualified as Contingency Supplemental Reserve.</w:t>
      </w:r>
    </w:p>
    <w:p>
      <w:pPr>
        <w:pStyle w:val="Normal"/>
        <w:spacing w:lineRule="auto" w:line="480"/>
        <w:rPr/>
      </w:pPr>
      <w:r>
        <w:rPr/>
        <w:tab/>
        <w:t>Section D of ECAR Doc. No. 2 provides that Spinning Reserve must be allocated among generating units to provide a rate of response which will assure that it can be fully utilized within ten minutes.  The Qualified Interruptible Load and Qualified Quick-Start Generating Resources described in Subsection B.2.b of ECAR Doc. No. 2 must be qualified as prescribed under Section C of that document as to method of application and time of response to comply with the requirements as stated below.</w:t>
      </w:r>
    </w:p>
    <w:p>
      <w:pPr>
        <w:pStyle w:val="Normal"/>
        <w:spacing w:lineRule="auto" w:line="480"/>
        <w:ind w:hanging="720" w:start="2160" w:end="0"/>
        <w:rPr>
          <w:b/>
          <w:bCs/>
        </w:rPr>
      </w:pPr>
      <w:r>
        <w:rPr>
          <w:b/>
          <w:bCs/>
        </w:rPr>
        <w:t>2.</w:t>
        <w:tab/>
        <w:t>Planning Reserve</w:t>
      </w:r>
      <w:r>
        <w:fldChar w:fldCharType="begin"/>
      </w:r>
      <w:r>
        <w:rPr/>
        <w:instrText xml:space="preserve"> TC "2.</w:instrText>
        <w:tab/>
        <w:instrText xml:space="preserve">Planning Reserve" \l 3 </w:instrText>
      </w:r>
      <w:r>
        <w:rPr/>
        <w:fldChar w:fldCharType="separate"/>
      </w:r>
      <w:r>
        <w:rPr/>
      </w:r>
      <w:r>
        <w:rPr/>
        <w:fldChar w:fldCharType="end"/>
      </w:r>
      <w:bookmarkStart w:id="15" w:name="__RefHeading___Toc473367256"/>
      <w:bookmarkEnd w:id="15"/>
    </w:p>
    <w:p>
      <w:pPr>
        <w:pStyle w:val="Normal"/>
        <w:spacing w:lineRule="auto" w:line="480"/>
        <w:rPr/>
      </w:pPr>
      <w:r>
        <w:rPr/>
        <w:tab/>
        <w:t>ECAR annually conducts an extensive probabilistic assessment of long-term capacity margin adequacy.</w:t>
      </w:r>
      <w:r>
        <w:rPr>
          <w:rStyle w:val="FootnoteCharacters"/>
          <w:rStyle w:val="FootnoteReference"/>
        </w:rPr>
        <w:footnoteReference w:id="22"/>
      </w:r>
      <w:r>
        <w:rPr/>
        <w:t xml:space="preserve">  It considers the Regional peak demand profile and the generation availability of ECAR members to assess ECAR-wide reliability against a criterion of one to ten days per year of Dependence on Supplemental Capacity Resources.  </w:t>
      </w:r>
      <w:r>
        <w:rPr>
          <w:u w:val="single"/>
        </w:rPr>
        <w:t>Id.</w:t>
      </w:r>
      <w:r>
        <w:rPr/>
        <w:t xml:space="preserve">  Supplemental Capacity Resources include assistance from neighboring Regions, contractually interruptible demands, and direct-control load management.  </w:t>
      </w:r>
      <w:r>
        <w:rPr>
          <w:u w:val="single"/>
        </w:rPr>
        <w:t>Id.</w:t>
      </w:r>
      <w:r>
        <w:rPr/>
        <w:t xml:space="preserve">  In 1998, ECAR stated that its capacity margins were expected to decline to 6.5% in 2002.  </w:t>
      </w:r>
      <w:r>
        <w:rPr>
          <w:u w:val="single"/>
        </w:rPr>
        <w:t>Id.</w:t>
      </w:r>
    </w:p>
    <w:p>
      <w:pPr>
        <w:pStyle w:val="Normal"/>
        <w:spacing w:lineRule="auto" w:line="480"/>
        <w:ind w:hanging="720" w:start="1440" w:end="0"/>
        <w:rPr/>
      </w:pPr>
      <w:r>
        <w:rPr>
          <w:b/>
          <w:bCs/>
        </w:rPr>
        <w:t>E.</w:t>
        <w:tab/>
      </w:r>
      <w:r>
        <w:rPr>
          <w:b/>
          <w:bCs/>
          <w:u w:val="single"/>
        </w:rPr>
        <w:t>Northeast Power Coordinating Council</w:t>
      </w:r>
      <w:r>
        <w:rPr>
          <w:b/>
          <w:bCs/>
        </w:rPr>
        <w:t xml:space="preserve"> (“</w:t>
      </w:r>
      <w:r>
        <w:rPr>
          <w:b/>
          <w:bCs/>
          <w:u w:val="single"/>
        </w:rPr>
        <w:t>NPCC</w:t>
      </w:r>
      <w:r>
        <w:rPr>
          <w:b/>
          <w:bCs/>
        </w:rPr>
        <w:t>”)</w:t>
      </w:r>
      <w:r>
        <w:fldChar w:fldCharType="begin"/>
      </w:r>
      <w:r>
        <w:rPr/>
        <w:instrText xml:space="preserve"> TC "E.</w:instrText>
        <w:tab/>
        <w:instrText xml:space="preserve">Northeast Power Coordinating Council (NPCC)" \l 2 </w:instrText>
      </w:r>
      <w:r>
        <w:rPr/>
        <w:fldChar w:fldCharType="separate"/>
      </w:r>
      <w:r>
        <w:rPr/>
      </w:r>
      <w:r>
        <w:rPr/>
        <w:fldChar w:fldCharType="end"/>
      </w:r>
      <w:bookmarkStart w:id="16" w:name="__RefHeading___Toc473367257"/>
      <w:bookmarkEnd w:id="16"/>
    </w:p>
    <w:p>
      <w:pPr>
        <w:pStyle w:val="Normal"/>
        <w:spacing w:lineRule="auto" w:line="480"/>
        <w:ind w:hanging="720" w:start="2160" w:end="0"/>
        <w:rPr/>
      </w:pPr>
      <w:r>
        <w:rPr>
          <w:b/>
          <w:bCs/>
        </w:rPr>
        <w:t>1.</w:t>
        <w:tab/>
        <w:t>Operating Reserve</w:t>
      </w:r>
      <w:r>
        <w:fldChar w:fldCharType="begin"/>
      </w:r>
      <w:r>
        <w:rPr/>
        <w:instrText xml:space="preserve"> TC "1.</w:instrText>
        <w:tab/>
        <w:instrText xml:space="preserve">Operating Reserve" \l 3 </w:instrText>
      </w:r>
      <w:r>
        <w:rPr/>
        <w:fldChar w:fldCharType="separate"/>
      </w:r>
      <w:r>
        <w:rPr/>
      </w:r>
      <w:r>
        <w:rPr/>
        <w:fldChar w:fldCharType="end"/>
      </w:r>
      <w:bookmarkStart w:id="17" w:name="__RefHeading___Toc473367258"/>
      <w:bookmarkEnd w:id="17"/>
    </w:p>
    <w:p>
      <w:pPr>
        <w:pStyle w:val="Normal"/>
        <w:spacing w:lineRule="auto" w:line="480"/>
        <w:rPr/>
      </w:pPr>
      <w:r>
        <w:rPr/>
        <w:tab/>
        <w:t>NPCC’s Operating Reserve Criteria (“ORC”)</w:t>
      </w:r>
      <w:r>
        <w:rPr>
          <w:rStyle w:val="FootnoteCharacters"/>
          <w:rStyle w:val="FootnoteReference"/>
        </w:rPr>
        <w:footnoteReference w:id="23"/>
      </w:r>
      <w:r>
        <w:rPr/>
        <w:t xml:space="preserve"> establishes the minimum requirements governing the amount, availability and distribution of operating reserve.  The objective of the ORC is to ensure a high level of reliability in the NPCC Region that is, at a minimum, consistent with the standards specified by NERC.</w:t>
      </w:r>
    </w:p>
    <w:p>
      <w:pPr>
        <w:pStyle w:val="Normal"/>
        <w:spacing w:lineRule="auto" w:line="480"/>
        <w:rPr/>
      </w:pPr>
      <w:r>
        <w:rPr/>
        <w:tab/>
        <w:t>Operating Reserve is defined as “the sum of ten-minute and thirty-minute reserve.”</w:t>
      </w:r>
      <w:r>
        <w:rPr>
          <w:rStyle w:val="FootnoteCharacters"/>
          <w:rStyle w:val="FootnoteReference"/>
        </w:rPr>
        <w:footnoteReference w:id="24"/>
      </w:r>
      <w:r>
        <w:rPr/>
        <w:t xml:space="preserve">  “Ten-minute reserve” is the “sum of synchronized</w:t>
      </w:r>
      <w:r>
        <w:rPr>
          <w:vertAlign w:val="superscript"/>
        </w:rPr>
        <w:t>[</w:t>
      </w:r>
      <w:r>
        <w:rPr>
          <w:rStyle w:val="FootnoteCharacters"/>
          <w:rStyle w:val="FootnoteReference"/>
        </w:rPr>
        <w:footnoteReference w:id="25"/>
      </w:r>
      <w:r>
        <w:rPr>
          <w:vertAlign w:val="superscript"/>
        </w:rPr>
        <w:t>]</w:t>
      </w:r>
      <w:r>
        <w:rPr/>
        <w:t xml:space="preserve"> and non-synchronized reserve</w:t>
      </w:r>
      <w:r>
        <w:rPr>
          <w:vertAlign w:val="superscript"/>
        </w:rPr>
        <w:t>[</w:t>
      </w:r>
      <w:r>
        <w:rPr>
          <w:rStyle w:val="FootnoteCharacters"/>
          <w:rStyle w:val="FootnoteReference"/>
        </w:rPr>
        <w:footnoteReference w:id="26"/>
      </w:r>
      <w:r>
        <w:rPr>
          <w:vertAlign w:val="superscript"/>
        </w:rPr>
        <w:t>]</w:t>
      </w:r>
      <w:r>
        <w:rPr/>
        <w:t xml:space="preserve"> that is fully available in ten minutes.”  </w:t>
      </w:r>
      <w:r>
        <w:rPr>
          <w:u w:val="single"/>
        </w:rPr>
        <w:t>Id.</w:t>
      </w:r>
      <w:r>
        <w:rPr/>
        <w:t xml:space="preserve"> at 19.  “Thirty-minute reserve” is defined as “the sum of synchronized and non-synchronized reserve that can be utilized in thirty minutes, excluding capacity assigned to ten-minute reserve.”  </w:t>
      </w:r>
      <w:r>
        <w:rPr>
          <w:u w:val="single"/>
        </w:rPr>
        <w:t>Id.</w:t>
      </w:r>
    </w:p>
    <w:p>
      <w:pPr>
        <w:pStyle w:val="Normal"/>
        <w:spacing w:lineRule="auto" w:line="480"/>
        <w:ind w:firstLine="720" w:end="0"/>
        <w:rPr/>
      </w:pPr>
      <w:r>
        <w:rPr/>
        <w:t>Each Area’s</w:t>
      </w:r>
      <w:r>
        <w:rPr>
          <w:rStyle w:val="FootnoteCharacters"/>
          <w:rStyle w:val="FootnoteReference"/>
        </w:rPr>
        <w:footnoteReference w:id="27"/>
      </w:r>
      <w:r>
        <w:rPr/>
        <w:t xml:space="preserve"> Operating Reserve must be distributed so that it can be utilized without exceeding individual element ratings or transfer limitations.  OPR Doc. A-6 at § 3.5.  Further, each Area’s operating reserve, if activated, must be sustainable until replacement capacity can be made fully available.  </w:t>
      </w:r>
      <w:r>
        <w:rPr>
          <w:u w:val="single"/>
        </w:rPr>
        <w:t>Id.</w:t>
      </w:r>
      <w:r>
        <w:rPr/>
        <w:t xml:space="preserve"> at § 3.6.</w:t>
      </w:r>
    </w:p>
    <w:p>
      <w:pPr>
        <w:pStyle w:val="Normal"/>
        <w:spacing w:lineRule="auto" w:line="480"/>
        <w:rPr/>
      </w:pPr>
      <w:r>
        <w:rPr/>
        <w:tab/>
        <w:t xml:space="preserve">OPR Doc. A-6 specifies procedures for scheduling to ensure sufficient resources to meet the operating reserve allowing for load forecast uncertainty.  </w:t>
      </w:r>
      <w:r>
        <w:rPr>
          <w:u w:val="single"/>
        </w:rPr>
        <w:t>Id.</w:t>
      </w:r>
      <w:r>
        <w:rPr/>
        <w:t xml:space="preserve"> at § 4.1.  It also sets forth procedures for Daily Operation including interchanges as economy energy (subject to immediate recall).  </w:t>
      </w:r>
      <w:r>
        <w:rPr>
          <w:u w:val="single"/>
        </w:rPr>
        <w:t>Id.</w:t>
      </w:r>
      <w:r>
        <w:rPr/>
        <w:t xml:space="preserve"> at § 4.2.1.  If an Area foresees it will be unable to provide its operating reserve requirements it must implement appropriate procedures.</w:t>
      </w:r>
      <w:r>
        <w:rPr>
          <w:rStyle w:val="FootnoteCharacters"/>
          <w:rStyle w:val="FootnoteReference"/>
        </w:rPr>
        <w:footnoteReference w:id="28"/>
      </w:r>
      <w:r>
        <w:rPr/>
        <w:t xml:space="preserve">  </w:t>
      </w:r>
      <w:r>
        <w:rPr>
          <w:u w:val="single"/>
        </w:rPr>
        <w:t>Id.</w:t>
      </w:r>
      <w:r>
        <w:rPr/>
        <w:t xml:space="preserve"> at § 4.2.2.</w:t>
      </w:r>
    </w:p>
    <w:p>
      <w:pPr>
        <w:pStyle w:val="Normal"/>
        <w:spacing w:lineRule="auto" w:line="480"/>
        <w:ind w:hanging="720" w:start="2160" w:end="0"/>
        <w:rPr>
          <w:b/>
          <w:bCs/>
        </w:rPr>
      </w:pPr>
      <w:r>
        <w:rPr>
          <w:b/>
          <w:bCs/>
        </w:rPr>
        <w:t>2.</w:t>
        <w:tab/>
        <w:t>Firm Demand</w:t>
      </w:r>
      <w:r>
        <w:fldChar w:fldCharType="begin"/>
      </w:r>
      <w:r>
        <w:rPr/>
        <w:instrText xml:space="preserve"> TC "2.</w:instrText>
        <w:tab/>
        <w:instrText xml:space="preserve">Firm Demand" \l 3 </w:instrText>
      </w:r>
      <w:r>
        <w:rPr/>
        <w:fldChar w:fldCharType="separate"/>
      </w:r>
      <w:r>
        <w:rPr/>
      </w:r>
      <w:r>
        <w:rPr/>
        <w:fldChar w:fldCharType="end"/>
      </w:r>
      <w:bookmarkStart w:id="18" w:name="__RefHeading___Toc473367259"/>
      <w:bookmarkEnd w:id="18"/>
    </w:p>
    <w:p>
      <w:pPr>
        <w:pStyle w:val="Normal"/>
        <w:spacing w:lineRule="auto" w:line="480"/>
        <w:rPr/>
      </w:pPr>
      <w:r>
        <w:rPr/>
        <w:tab/>
        <w:t xml:space="preserve">The NPCC Glossary defines “Firm Demand” as “that portion of the Contract Demand that a power supplier is obligated to provide except when system reliability is threatened or during emergency conditions.”  </w:t>
      </w:r>
      <w:r>
        <w:rPr>
          <w:u w:val="single"/>
        </w:rPr>
        <w:t>Id.</w:t>
      </w:r>
      <w:r>
        <w:rPr/>
        <w:t xml:space="preserve"> at 7.  “Contract Demand” is defined as the “amount of capacity that a supplier agrees to make available for delivery to a particular entity and which the entity agrees to purchase.”  </w:t>
      </w:r>
      <w:r>
        <w:rPr>
          <w:u w:val="single"/>
        </w:rPr>
        <w:t>Id.</w:t>
      </w:r>
    </w:p>
    <w:p>
      <w:pPr>
        <w:pStyle w:val="Normal"/>
        <w:ind w:hanging="720" w:start="1440" w:end="0"/>
        <w:rPr>
          <w:b/>
          <w:bCs/>
        </w:rPr>
      </w:pPr>
      <w:r>
        <w:rPr>
          <w:b/>
          <w:bCs/>
        </w:rPr>
        <w:t>F.</w:t>
        <w:tab/>
      </w:r>
      <w:r>
        <w:rPr>
          <w:b/>
          <w:bCs/>
          <w:u w:val="single"/>
        </w:rPr>
        <w:t>Mid-Atlantic Area Council</w:t>
      </w:r>
      <w:r>
        <w:rPr>
          <w:b/>
          <w:bCs/>
        </w:rPr>
        <w:t xml:space="preserve"> (“</w:t>
      </w:r>
      <w:r>
        <w:rPr>
          <w:b/>
          <w:bCs/>
          <w:u w:val="single"/>
        </w:rPr>
        <w:t>MAAC</w:t>
      </w:r>
      <w:r>
        <w:rPr>
          <w:b/>
          <w:bCs/>
        </w:rPr>
        <w:t>”)/</w:t>
      </w:r>
      <w:r>
        <w:rPr>
          <w:b/>
          <w:bCs/>
          <w:u w:val="single"/>
        </w:rPr>
        <w:t>PJM Interconnection, L.L.C.</w:t>
      </w:r>
      <w:r>
        <w:rPr>
          <w:b/>
          <w:bCs/>
        </w:rPr>
        <w:t xml:space="preserve"> (“</w:t>
      </w:r>
      <w:r>
        <w:rPr>
          <w:b/>
          <w:bCs/>
          <w:u w:val="single"/>
        </w:rPr>
        <w:t>PJM</w:t>
      </w:r>
      <w:r>
        <w:rPr>
          <w:b/>
          <w:bCs/>
        </w:rPr>
        <w:t>”)</w:t>
      </w:r>
      <w:r>
        <w:fldChar w:fldCharType="begin"/>
      </w:r>
      <w:r>
        <w:rPr/>
        <w:instrText xml:space="preserve"> TC "F.</w:instrText>
        <w:tab/>
        <w:instrText xml:space="preserve">Mid-Atlantic Area Council (MAAC)/PJM Interconnection, L.L.C. (PJM)" \l 2 </w:instrText>
      </w:r>
      <w:r>
        <w:rPr/>
        <w:fldChar w:fldCharType="separate"/>
      </w:r>
      <w:r>
        <w:rPr/>
      </w:r>
      <w:r>
        <w:rPr/>
        <w:fldChar w:fldCharType="end"/>
      </w:r>
      <w:bookmarkStart w:id="19" w:name="__RefHeading___Toc473367260"/>
      <w:bookmarkEnd w:id="19"/>
    </w:p>
    <w:p>
      <w:pPr>
        <w:pStyle w:val="Normal"/>
        <w:ind w:hanging="720" w:start="1440" w:end="0"/>
        <w:rPr>
          <w:b/>
          <w:bCs/>
        </w:rPr>
      </w:pPr>
      <w:r>
        <w:rPr>
          <w:b/>
          <w:bCs/>
        </w:rPr>
      </w:r>
    </w:p>
    <w:p>
      <w:pPr>
        <w:pStyle w:val="Normal"/>
        <w:spacing w:lineRule="auto" w:line="480"/>
        <w:ind w:firstLine="720" w:end="0"/>
        <w:rPr>
          <w:b/>
          <w:bCs/>
        </w:rPr>
      </w:pPr>
      <w:r>
        <w:rPr/>
        <w:t>The PJM Office of the Interconnection (“PJM OI”) has the overall responsibility of establishing  the integrity of electrical supply within the PJM Control Area.</w:t>
      </w:r>
      <w:r>
        <w:rPr>
          <w:rStyle w:val="FootnoteCharacters"/>
          <w:rStyle w:val="FootnoteReference"/>
        </w:rPr>
        <w:footnoteReference w:id="29"/>
      </w:r>
      <w:r>
        <w:rPr/>
        <w:t xml:space="preserve">  The PJM OI establishes the reserve requirements for the PJM Control Area based on (1) the industry guidelines and standards for reliability as established by NERC and MAAC and (2) PJM OI’s annual reliability analysis.  </w:t>
      </w:r>
      <w:r>
        <w:rPr>
          <w:u w:val="single"/>
        </w:rPr>
        <w:t>Id.</w:t>
      </w:r>
    </w:p>
    <w:p>
      <w:pPr>
        <w:pStyle w:val="Normal"/>
        <w:spacing w:lineRule="auto" w:line="480"/>
        <w:ind w:hanging="720" w:start="2160" w:end="0"/>
        <w:rPr>
          <w:b/>
          <w:bCs/>
        </w:rPr>
      </w:pPr>
      <w:r>
        <w:rPr>
          <w:b/>
          <w:bCs/>
        </w:rPr>
        <w:t>1.</w:t>
        <w:tab/>
        <w:t>Operating Reserve</w:t>
      </w:r>
      <w:r>
        <w:fldChar w:fldCharType="begin"/>
      </w:r>
      <w:r>
        <w:rPr/>
        <w:instrText xml:space="preserve"> TC "1.</w:instrText>
        <w:tab/>
        <w:instrText xml:space="preserve">Operating Reserve" \l 3 </w:instrText>
      </w:r>
      <w:r>
        <w:rPr/>
        <w:fldChar w:fldCharType="separate"/>
      </w:r>
      <w:r>
        <w:rPr/>
      </w:r>
      <w:r>
        <w:rPr/>
        <w:fldChar w:fldCharType="end"/>
      </w:r>
      <w:bookmarkStart w:id="20" w:name="__RefHeading___Toc473367261"/>
      <w:bookmarkEnd w:id="20"/>
    </w:p>
    <w:p>
      <w:pPr>
        <w:pStyle w:val="Normal"/>
        <w:spacing w:lineRule="auto" w:line="480"/>
        <w:rPr/>
      </w:pPr>
      <w:r>
        <w:rPr/>
        <w:tab/>
        <w:t>Manual M-20 (at A-23) defines “Operating Reserve” as “the amounts of generating Capacity</w:t>
      </w:r>
      <w:r>
        <w:rPr>
          <w:vertAlign w:val="superscript"/>
        </w:rPr>
        <w:t>[</w:t>
      </w:r>
      <w:r>
        <w:rPr>
          <w:rStyle w:val="FootnoteCharacters"/>
          <w:rStyle w:val="FootnoteReference"/>
        </w:rPr>
        <w:footnoteReference w:id="30"/>
      </w:r>
      <w:r>
        <w:rPr>
          <w:vertAlign w:val="superscript"/>
        </w:rPr>
        <w:t>]</w:t>
      </w:r>
      <w:r>
        <w:rPr/>
        <w:t xml:space="preserve"> scheduled to be available for specified periods of an Operating Day to ensure reliable operation of the PJM Control Area.”</w:t>
      </w:r>
    </w:p>
    <w:p>
      <w:pPr>
        <w:pStyle w:val="Normal"/>
        <w:spacing w:lineRule="auto" w:line="480"/>
        <w:rPr/>
      </w:pPr>
      <w:r>
        <w:rPr/>
        <w:tab/>
        <w:t>PJM’s Manual M-20 defines “Spinning Reserve” as:</w:t>
      </w:r>
    </w:p>
    <w:p>
      <w:pPr>
        <w:pStyle w:val="Normal"/>
        <w:ind w:start="1440" w:end="1440"/>
        <w:rPr/>
      </w:pPr>
      <w:r>
        <w:rPr/>
        <w:t>Reserve capability which is required in order to enable an area to restore its tie-lines to the pre-contingency state within 10 minutes of a contingency which causes an imbalance between load and generation.  During normal operation, these reserves must be provided by increasing energy output on electrically synchronized equipment or by reducing load on pumped storage hydroelectric facilities.  During system restoration customer load may be classified as spinning reserve.</w:t>
      </w:r>
    </w:p>
    <w:p>
      <w:pPr>
        <w:pStyle w:val="Normal"/>
        <w:ind w:start="1440" w:end="1440"/>
        <w:rPr/>
      </w:pPr>
      <w:r>
        <w:rPr/>
      </w:r>
    </w:p>
    <w:p>
      <w:pPr>
        <w:pStyle w:val="Normal"/>
        <w:spacing w:lineRule="auto" w:line="480"/>
        <w:rPr/>
      </w:pPr>
      <w:r>
        <w:rPr/>
        <w:t>Manual M-20 at A-23.</w:t>
      </w:r>
    </w:p>
    <w:p>
      <w:pPr>
        <w:pStyle w:val="Normal"/>
        <w:spacing w:lineRule="auto" w:line="480"/>
        <w:ind w:hanging="720" w:start="2160" w:end="0"/>
        <w:rPr/>
      </w:pPr>
      <w:r>
        <w:rPr>
          <w:b/>
          <w:bCs/>
        </w:rPr>
        <w:t>2.</w:t>
        <w:tab/>
        <w:t>Planning Reserves</w:t>
      </w:r>
      <w:r>
        <w:fldChar w:fldCharType="begin"/>
      </w:r>
      <w:r>
        <w:rPr/>
        <w:instrText xml:space="preserve"> TC "2.</w:instrText>
        <w:tab/>
        <w:instrText xml:space="preserve">Planning Reserves" \l 3 </w:instrText>
      </w:r>
      <w:r>
        <w:rPr/>
        <w:fldChar w:fldCharType="separate"/>
      </w:r>
      <w:r>
        <w:rPr/>
      </w:r>
      <w:r>
        <w:rPr/>
        <w:fldChar w:fldCharType="end"/>
      </w:r>
      <w:bookmarkStart w:id="21" w:name="__RefHeading___Toc473367262"/>
      <w:bookmarkEnd w:id="21"/>
    </w:p>
    <w:p>
      <w:pPr>
        <w:pStyle w:val="Normal"/>
        <w:spacing w:lineRule="auto" w:line="480"/>
        <w:rPr/>
      </w:pPr>
      <w:r>
        <w:rPr/>
        <w:tab/>
        <w:t xml:space="preserve">The PJM Reserve Requirement is defined as “the level of installed reserves needed to maintain the desired reliability of ten years per day (loss of load expectation of one day every ten years).”  Manual M-20 at 3-11.  Manual M-20 notes that this requirement is based on the MAAC Reliability Standards.  </w:t>
      </w:r>
      <w:r>
        <w:rPr>
          <w:u w:val="single"/>
        </w:rPr>
        <w:t>Id.</w:t>
      </w:r>
      <w:r>
        <w:rPr/>
        <w:t xml:space="preserve">  In this regard, the MAAC Reliability Principles and Standards</w:t>
      </w:r>
      <w:r>
        <w:rPr>
          <w:rStyle w:val="FootnoteCharacters"/>
          <w:rStyle w:val="FootnoteReference"/>
        </w:rPr>
        <w:footnoteReference w:id="31"/>
      </w:r>
      <w:r>
        <w:rPr/>
        <w:t xml:space="preserve"> provides:</w:t>
      </w:r>
    </w:p>
    <w:p>
      <w:pPr>
        <w:pStyle w:val="Normal"/>
        <w:ind w:start="1440" w:end="1440"/>
        <w:rPr/>
      </w:pPr>
      <w:r>
        <w:rPr/>
        <w:t>Sufficient megawatt generating capacity shall be installed to ensure that in each year for the MAAC system the probability of occurrence of load exceeding the available generating capacity shall not be greater, on the average, than one day in ten years.  Among the factors to be considered in the calculation of the probability are the characteristics of the loads, the probability of error in load forecast, the scheduled maintenance requirements for generating units, the forced outage rates of generating units, limited energy capacity, the effects of connections to other pools, and network transfer capabilities within the MAAC systems.</w:t>
      </w:r>
    </w:p>
    <w:p>
      <w:pPr>
        <w:pStyle w:val="Normal"/>
        <w:ind w:start="1440" w:end="1440"/>
        <w:rPr/>
      </w:pPr>
      <w:r>
        <w:rPr/>
      </w:r>
    </w:p>
    <w:p>
      <w:pPr>
        <w:pStyle w:val="Normal"/>
        <w:spacing w:lineRule="auto" w:line="480"/>
        <w:rPr/>
      </w:pPr>
      <w:r>
        <w:rPr/>
        <w:tab/>
        <w:t>The PJM OI uses a GEBGE reliability computer program as the principle tool for calculating the PJM Reserve Requirement.  Manual M-20 at 3-11.  Calculation of the PJM Reserve Requirement and other reliability criteria is explained in Manual M-20, “Section 3:  PJM Reliability Analysis” at 3-1 through 3-15.</w:t>
      </w:r>
    </w:p>
    <w:p>
      <w:pPr>
        <w:pStyle w:val="Normal"/>
        <w:spacing w:lineRule="auto" w:line="480"/>
        <w:ind w:hanging="720" w:start="1440" w:end="0"/>
        <w:rPr>
          <w:b/>
          <w:bCs/>
        </w:rPr>
      </w:pPr>
      <w:r>
        <w:rPr>
          <w:b/>
          <w:bCs/>
        </w:rPr>
        <w:t>G.</w:t>
        <w:tab/>
        <w:t>Mid-Continent Area Power Pool (“MAPP”)</w:t>
      </w:r>
      <w:r>
        <w:fldChar w:fldCharType="begin"/>
      </w:r>
      <w:r>
        <w:rPr/>
        <w:instrText xml:space="preserve"> TC "G.</w:instrText>
        <w:tab/>
        <w:instrText xml:space="preserve">Mid-Continent Area Power Pool (MAPP)" \l 2 </w:instrText>
      </w:r>
      <w:r>
        <w:rPr/>
        <w:fldChar w:fldCharType="separate"/>
      </w:r>
      <w:r>
        <w:rPr/>
      </w:r>
      <w:r>
        <w:rPr/>
        <w:fldChar w:fldCharType="end"/>
      </w:r>
      <w:bookmarkStart w:id="22" w:name="__RefHeading___Toc473367263"/>
      <w:bookmarkEnd w:id="22"/>
    </w:p>
    <w:p>
      <w:pPr>
        <w:pStyle w:val="Normal"/>
        <w:spacing w:lineRule="auto" w:line="480"/>
        <w:ind w:hanging="720" w:start="2160" w:end="0"/>
        <w:rPr/>
      </w:pPr>
      <w:r>
        <w:rPr>
          <w:b/>
          <w:bCs/>
        </w:rPr>
        <w:t>1.</w:t>
        <w:tab/>
        <w:t>Operating and Planning Reserves</w:t>
      </w:r>
      <w:r>
        <w:fldChar w:fldCharType="begin"/>
      </w:r>
      <w:r>
        <w:rPr/>
        <w:instrText xml:space="preserve"> TC "1.</w:instrText>
        <w:tab/>
        <w:instrText xml:space="preserve">Operating and Planning Reserves" \l 3 </w:instrText>
      </w:r>
      <w:r>
        <w:rPr/>
        <w:fldChar w:fldCharType="separate"/>
      </w:r>
      <w:r>
        <w:rPr/>
      </w:r>
      <w:r>
        <w:rPr/>
        <w:fldChar w:fldCharType="end"/>
      </w:r>
      <w:bookmarkStart w:id="23" w:name="__RefHeading___Toc473367264"/>
      <w:bookmarkEnd w:id="23"/>
    </w:p>
    <w:p>
      <w:pPr>
        <w:pStyle w:val="Normal"/>
        <w:spacing w:lineRule="auto" w:line="480"/>
        <w:rPr/>
      </w:pPr>
      <w:r>
        <w:rPr/>
        <w:tab/>
        <w:t>The MAPP Reliability Handbook establishes System Design Standards (“Standards”) for the bulk power supply facilities of MAPP.</w:t>
      </w:r>
      <w:r>
        <w:rPr>
          <w:rStyle w:val="FootnoteCharacters"/>
          <w:rStyle w:val="FootnoteReference"/>
        </w:rPr>
        <w:footnoteReference w:id="32"/>
      </w:r>
      <w:r>
        <w:rPr/>
        <w:t xml:space="preserve">  These Standards are used to measure the ability of the MAPP System to withstand various contingencies affecting system reliability.</w:t>
      </w:r>
    </w:p>
    <w:p>
      <w:pPr>
        <w:pStyle w:val="Normal"/>
        <w:spacing w:lineRule="auto" w:line="480"/>
        <w:rPr/>
      </w:pPr>
      <w:r>
        <w:rPr/>
        <w:tab/>
        <w:t xml:space="preserve">The MAPP Handbook includes a Reliability Standard for adequate generating capacity which provides that: </w:t>
      </w:r>
    </w:p>
    <w:p>
      <w:pPr>
        <w:pStyle w:val="Normal"/>
        <w:ind w:start="1440" w:end="1440"/>
        <w:rPr/>
      </w:pPr>
      <w:r>
        <w:rPr/>
        <w:t>Each Party’s installed generating capacity (net capability) for any month, adjusted for power purchases and sales, shall not be less than its maximum integrated hour demand for that month plus a reserve of 15% (10% for a hydro System) of such demand for the twelve month period ending with the current month.  The MAPP Engineering Committee, as provided by Article 10.05 of the MAPP Agreement, shall periodically review this reserve criterion and recommend any changes to the Management Committee.  Such review shall include consideration of the effects of the probability of forced outages of generating units, power exchange arrangements with non-member Systems, maintenance schedules, load patterns and deviations from load forecasts.</w:t>
      </w:r>
    </w:p>
    <w:p>
      <w:pPr>
        <w:pStyle w:val="Normal"/>
        <w:ind w:start="1440" w:end="1440"/>
        <w:rPr/>
      </w:pPr>
      <w:r>
        <w:rPr/>
      </w:r>
    </w:p>
    <w:p>
      <w:pPr>
        <w:pStyle w:val="Normal"/>
        <w:spacing w:lineRule="auto" w:line="480"/>
        <w:rPr/>
      </w:pPr>
      <w:r>
        <w:rPr/>
        <w:t>MAPP Handbook, § 8.2.1.1, at 6.</w:t>
      </w:r>
    </w:p>
    <w:p>
      <w:pPr>
        <w:pStyle w:val="Normal"/>
        <w:spacing w:lineRule="auto" w:line="480"/>
        <w:rPr/>
      </w:pPr>
      <w:r>
        <w:rPr/>
        <w:tab/>
        <w:t>This provision effectively establishes a monthly operating reserve of installed generating capacity at least equal to the Party’s</w:t>
      </w:r>
      <w:r>
        <w:rPr>
          <w:rStyle w:val="FootnoteCharacters"/>
          <w:rStyle w:val="FootnoteReference"/>
        </w:rPr>
        <w:footnoteReference w:id="33"/>
      </w:r>
      <w:r>
        <w:rPr/>
        <w:t xml:space="preserve"> “maximum integrated hour demand” for the month.   It also establishes a MAPP Reserve Capacity Obligation of 15% (10% for a hydro system) of such demand for the twelve month period ending with the current month.  </w:t>
      </w:r>
      <w:r>
        <w:rPr>
          <w:u w:val="single"/>
        </w:rPr>
        <w:t>Id.</w:t>
      </w:r>
      <w:r>
        <w:rPr/>
        <w:t xml:space="preserve"> at § 8.2.16.  </w:t>
      </w:r>
      <w:r>
        <w:rPr>
          <w:u w:val="single"/>
        </w:rPr>
        <w:t>See also</w:t>
      </w:r>
      <w:r>
        <w:rPr/>
        <w:t xml:space="preserve"> NERC RA at 54 (The MAPP Agreement obligates the member systems to maintain reserve margins at or above 15% over the reporting period.).</w:t>
      </w:r>
    </w:p>
    <w:p>
      <w:pPr>
        <w:pStyle w:val="Normal"/>
        <w:spacing w:lineRule="auto" w:line="480"/>
        <w:ind w:start="720" w:end="0"/>
        <w:rPr>
          <w:b/>
          <w:bCs/>
          <w:u w:val="single"/>
        </w:rPr>
      </w:pPr>
      <w:r>
        <w:rPr>
          <w:b/>
          <w:bCs/>
        </w:rPr>
        <w:t>H.</w:t>
      </w:r>
      <w:r>
        <w:rPr/>
        <w:tab/>
      </w:r>
      <w:r>
        <w:rPr>
          <w:b/>
          <w:bCs/>
          <w:u w:val="single"/>
        </w:rPr>
        <w:t>Southwest Power Pool</w:t>
      </w:r>
      <w:r>
        <w:rPr>
          <w:b/>
          <w:bCs/>
        </w:rPr>
        <w:t xml:space="preserve"> (“</w:t>
      </w:r>
      <w:r>
        <w:rPr>
          <w:b/>
          <w:bCs/>
          <w:u w:val="single"/>
        </w:rPr>
        <w:t>SPP</w:t>
      </w:r>
      <w:r>
        <w:rPr>
          <w:b/>
          <w:bCs/>
        </w:rPr>
        <w:t>”)</w:t>
      </w:r>
      <w:r>
        <w:fldChar w:fldCharType="begin"/>
      </w:r>
      <w:r>
        <w:rPr/>
        <w:instrText xml:space="preserve"> TC "H.</w:instrText>
        <w:tab/>
        <w:instrText xml:space="preserve">Southwest Power Pool (SPP)" \l 2 </w:instrText>
      </w:r>
      <w:r>
        <w:rPr/>
        <w:fldChar w:fldCharType="separate"/>
      </w:r>
      <w:r>
        <w:rPr/>
      </w:r>
      <w:r>
        <w:rPr/>
        <w:fldChar w:fldCharType="end"/>
      </w:r>
      <w:bookmarkStart w:id="24" w:name="__RefHeading___Toc473367265"/>
      <w:bookmarkEnd w:id="24"/>
    </w:p>
    <w:p>
      <w:pPr>
        <w:pStyle w:val="Normal"/>
        <w:spacing w:lineRule="auto" w:line="480"/>
        <w:ind w:start="1440" w:end="0"/>
        <w:rPr>
          <w:b/>
          <w:bCs/>
        </w:rPr>
      </w:pPr>
      <w:r>
        <w:rPr>
          <w:b/>
          <w:bCs/>
        </w:rPr>
        <w:t>1.</w:t>
        <w:tab/>
        <w:t>Operating Reserve</w:t>
      </w:r>
      <w:r>
        <w:fldChar w:fldCharType="begin"/>
      </w:r>
      <w:r>
        <w:rPr/>
        <w:instrText xml:space="preserve"> TC "1.</w:instrText>
        <w:tab/>
        <w:instrText xml:space="preserve">Operating Reserve" \l 3 </w:instrText>
      </w:r>
      <w:r>
        <w:rPr/>
        <w:fldChar w:fldCharType="separate"/>
      </w:r>
      <w:r>
        <w:rPr/>
      </w:r>
      <w:r>
        <w:rPr/>
        <w:fldChar w:fldCharType="end"/>
      </w:r>
      <w:bookmarkStart w:id="25" w:name="__RefHeading___Toc473367266"/>
      <w:bookmarkEnd w:id="25"/>
    </w:p>
    <w:p>
      <w:pPr>
        <w:pStyle w:val="Normal"/>
        <w:spacing w:lineRule="auto" w:line="480"/>
        <w:rPr/>
      </w:pPr>
      <w:r>
        <w:rPr>
          <w:b/>
          <w:bCs/>
        </w:rPr>
        <w:tab/>
      </w:r>
      <w:r>
        <w:rPr/>
        <w:t>SPP has adopted extensive “Criteria” reflecting the policies, standards or principles of conduct to achieve the coordinated planning and operation of SPP.</w:t>
      </w:r>
      <w:r>
        <w:rPr>
          <w:rStyle w:val="FootnoteCharacters"/>
          <w:rStyle w:val="FootnoteReference"/>
        </w:rPr>
        <w:footnoteReference w:id="34"/>
      </w:r>
      <w:r>
        <w:rPr/>
        <w:t xml:space="preserve">  Criteria Section 6.0 “Operating Reserve” states that “Operating Reserves are needed to regulate load changes and to support an Operating Reserve Contingency</w:t>
      </w:r>
      <w:r>
        <w:rPr>
          <w:vertAlign w:val="superscript"/>
        </w:rPr>
        <w:t>[</w:t>
      </w:r>
      <w:r>
        <w:rPr>
          <w:rStyle w:val="FootnoteCharacters"/>
          <w:rStyle w:val="FootnoteReference"/>
        </w:rPr>
        <w:footnoteReference w:id="35"/>
      </w:r>
      <w:r>
        <w:rPr>
          <w:vertAlign w:val="superscript"/>
        </w:rPr>
        <w:t>]</w:t>
      </w:r>
      <w:r>
        <w:rPr/>
        <w:t xml:space="preserve"> without shedding firm load or curtailing Firm Power Sales.”  </w:t>
      </w:r>
      <w:r>
        <w:rPr>
          <w:u w:val="single"/>
        </w:rPr>
        <w:t>Id.</w:t>
      </w:r>
      <w:r>
        <w:rPr/>
        <w:t xml:space="preserve"> at 6-1.  Criteria 6.0 establishes the:</w:t>
      </w:r>
    </w:p>
    <w:p>
      <w:pPr>
        <w:pStyle w:val="Normal"/>
        <w:ind w:start="1440" w:end="1440"/>
        <w:rPr/>
      </w:pPr>
      <w:r>
        <w:rPr/>
        <w:t>[M]inimum requirements governing the amount and availability of Contingency Reserves to be maintained by the distribution of Operating Reserve responsibility among members of the SPP Reserve Sharing Group.</w:t>
      </w:r>
    </w:p>
    <w:p>
      <w:pPr>
        <w:pStyle w:val="Normal"/>
        <w:ind w:start="1440" w:end="1440"/>
        <w:rPr/>
      </w:pPr>
      <w:r>
        <w:rPr/>
      </w:r>
    </w:p>
    <w:p>
      <w:pPr>
        <w:pStyle w:val="Normal"/>
        <w:spacing w:lineRule="auto" w:line="480"/>
        <w:rPr/>
      </w:pPr>
      <w:r>
        <w:rPr/>
        <w:t>Criteria 6.1 at 6-1.</w:t>
      </w:r>
    </w:p>
    <w:p>
      <w:pPr>
        <w:pStyle w:val="Normal"/>
        <w:spacing w:lineRule="auto" w:line="480"/>
        <w:rPr/>
      </w:pPr>
      <w:r>
        <w:rPr/>
        <w:tab/>
        <w:t>Operating Reserve is defined as “the sum of Regulating Reserve and the Contingency Reserve.”  Criteria at 6.2.4 at 6-2.</w:t>
      </w:r>
    </w:p>
    <w:p>
      <w:pPr>
        <w:pStyle w:val="Normal"/>
        <w:spacing w:lineRule="auto" w:line="480"/>
        <w:rPr/>
      </w:pPr>
      <w:r>
        <w:rPr/>
        <w:tab/>
        <w:t>Regulating Reserve and Contingency Reserve are defined as follows:</w:t>
      </w:r>
    </w:p>
    <w:p>
      <w:pPr>
        <w:pStyle w:val="Normal"/>
        <w:spacing w:lineRule="auto" w:line="480"/>
        <w:ind w:start="1440" w:end="0"/>
        <w:rPr>
          <w:b/>
          <w:bCs/>
        </w:rPr>
      </w:pPr>
      <w:r>
        <w:rPr>
          <w:b/>
          <w:bCs/>
        </w:rPr>
        <w:t>6.2.4.1</w:t>
        <w:tab/>
        <w:t>Regulating Reserve</w:t>
      </w:r>
    </w:p>
    <w:p>
      <w:pPr>
        <w:pStyle w:val="Normal"/>
        <w:ind w:start="1440" w:end="1440"/>
        <w:rPr/>
      </w:pPr>
      <w:r>
        <w:rPr/>
        <w:t>Regulating Reserve is an amount of Spinning Reserve responsive to AGC, which is sufficient to provide normal regulating margin.  The Control Area minimum Regulating Reserve is equal to an amount necessary to maintain compliance with control performance standards while scheduling all Contingency Reserves to other Control Areas.</w:t>
      </w:r>
    </w:p>
    <w:p>
      <w:pPr>
        <w:pStyle w:val="Normal"/>
        <w:ind w:start="1440" w:end="1440"/>
        <w:rPr/>
      </w:pPr>
      <w:r>
        <w:rPr/>
      </w:r>
    </w:p>
    <w:p>
      <w:pPr>
        <w:pStyle w:val="Normal"/>
        <w:spacing w:lineRule="auto" w:line="480"/>
        <w:ind w:start="1440" w:end="0"/>
        <w:rPr>
          <w:b/>
          <w:bCs/>
        </w:rPr>
      </w:pPr>
      <w:r>
        <w:rPr>
          <w:b/>
          <w:bCs/>
        </w:rPr>
        <w:t>6.2.4.2</w:t>
        <w:tab/>
        <w:t>Contingency Reserve</w:t>
      </w:r>
    </w:p>
    <w:p>
      <w:pPr>
        <w:pStyle w:val="Normal"/>
        <w:ind w:start="1440" w:end="1440"/>
        <w:rPr/>
      </w:pPr>
      <w:r>
        <w:rPr/>
        <w:t>Contingency Reserve is that Operating Capacity that can be produced and applied to reduce ACE to meet the NERC Disturbance Control Standard (DCS) following the Operating Reserve Contingency.  Contingency Reserve is the sum of Spinning Reserve and Ready Reserve.</w:t>
      </w:r>
    </w:p>
    <w:p>
      <w:pPr>
        <w:pStyle w:val="Normal"/>
        <w:ind w:start="1440" w:end="1440"/>
        <w:rPr/>
      </w:pPr>
      <w:r>
        <w:rPr/>
      </w:r>
    </w:p>
    <w:p>
      <w:pPr>
        <w:pStyle w:val="Normal"/>
        <w:spacing w:lineRule="auto" w:line="480"/>
        <w:ind w:start="90" w:end="1440"/>
        <w:rPr/>
      </w:pPr>
      <w:r>
        <w:rPr>
          <w:u w:val="single"/>
        </w:rPr>
        <w:t>Id.</w:t>
      </w:r>
      <w:r>
        <w:rPr/>
        <w:t xml:space="preserve"> at 6-2.  SPP’s Security Working Group sets a Minimum Daily Contingency Reserve Requirement for the SPP Reserve Sharing Group as set forth in Criteria 6.3.</w:t>
      </w:r>
    </w:p>
    <w:p>
      <w:pPr>
        <w:pStyle w:val="Normal"/>
        <w:spacing w:lineRule="auto" w:line="480"/>
        <w:ind w:start="90" w:end="1440"/>
        <w:rPr/>
      </w:pPr>
      <w:r>
        <w:rPr/>
        <w:tab/>
        <w:t>Spinning Reserve is defined as follows:</w:t>
      </w:r>
    </w:p>
    <w:p>
      <w:pPr>
        <w:pStyle w:val="Normal"/>
        <w:ind w:start="1440" w:end="1440"/>
        <w:jc w:val="start"/>
        <w:rPr>
          <w:b/>
          <w:bCs/>
        </w:rPr>
      </w:pPr>
      <w:r>
        <w:rPr>
          <w:b/>
          <w:bCs/>
        </w:rPr>
        <w:t>6.2.5</w:t>
        <w:tab/>
        <w:t>Spinning Reserve</w:t>
      </w:r>
    </w:p>
    <w:p>
      <w:pPr>
        <w:pStyle w:val="Normal"/>
        <w:ind w:start="1440" w:end="1440"/>
        <w:jc w:val="center"/>
        <w:rPr>
          <w:b/>
          <w:bCs/>
        </w:rPr>
      </w:pPr>
      <w:r>
        <w:rPr>
          <w:b/>
          <w:bCs/>
        </w:rPr>
      </w:r>
    </w:p>
    <w:p>
      <w:pPr>
        <w:pStyle w:val="Normal"/>
        <w:ind w:start="1440" w:end="1440"/>
        <w:rPr/>
      </w:pPr>
      <w:r>
        <w:rPr/>
        <w:t>Spinning Reserve is that unloaded Operating Capacity available to units connected to and synchronized with the interconnected electric system and ready to take load immediately in response to a frequency deviation.  The Spinning Reserve allocated to any generating unit shall not exceed the amount of capacity increase that will be realized by prime-mover governor action due to a drop in frequency to 59.5 Hertz (less than or equal to 16.7% of unit capability at a 5% droop setting).  At least half of the Contingency Reserve shall be Spinning Reserve.</w:t>
      </w:r>
    </w:p>
    <w:p>
      <w:pPr>
        <w:pStyle w:val="Normal"/>
        <w:ind w:start="1440" w:end="1440"/>
        <w:rPr/>
      </w:pPr>
      <w:r>
        <w:rPr/>
      </w:r>
    </w:p>
    <w:p>
      <w:pPr>
        <w:pStyle w:val="Normal"/>
        <w:spacing w:lineRule="auto" w:line="480"/>
        <w:rPr/>
      </w:pPr>
      <w:r>
        <w:rPr>
          <w:u w:val="single"/>
        </w:rPr>
        <w:t>Id.</w:t>
      </w:r>
      <w:r>
        <w:rPr/>
        <w:t xml:space="preserve"> at 6-2 though 6-3.</w:t>
      </w:r>
    </w:p>
    <w:p>
      <w:pPr>
        <w:pStyle w:val="Normal"/>
        <w:spacing w:lineRule="auto" w:line="480"/>
        <w:rPr/>
      </w:pPr>
      <w:r>
        <w:rPr/>
        <w:tab/>
        <w:t>Ready Reserve is defined in Criteria 6.2.6 as:</w:t>
      </w:r>
    </w:p>
    <w:p>
      <w:pPr>
        <w:pStyle w:val="Normal"/>
        <w:ind w:start="1440" w:end="1440"/>
        <w:rPr/>
      </w:pPr>
      <w:r>
        <w:rPr/>
        <w:t>That amount of Operating Capacity or the equivalent, some or all of which may not be connected to the interconnected network but which can be connected and fully applied in ten minutes, to meet the NERC DCS requirements. . . .</w:t>
      </w:r>
    </w:p>
    <w:p>
      <w:pPr>
        <w:pStyle w:val="Normal"/>
        <w:ind w:start="1440" w:end="1440"/>
        <w:rPr>
          <w:u w:val="single"/>
        </w:rPr>
      </w:pPr>
      <w:r>
        <w:rPr>
          <w:u w:val="single"/>
        </w:rPr>
      </w:r>
    </w:p>
    <w:p>
      <w:pPr>
        <w:pStyle w:val="Normal"/>
        <w:spacing w:lineRule="auto" w:line="480"/>
        <w:rPr/>
      </w:pPr>
      <w:r>
        <w:rPr>
          <w:u w:val="single"/>
        </w:rPr>
        <w:t>Id.</w:t>
      </w:r>
      <w:r>
        <w:rPr/>
        <w:t xml:space="preserve"> at 6-3.  Various examples of Ready Reserve listed in Criteria 6.2.6 include specific types of Operating Capacity, interruptible loads, and generating units operating in a synchronous condenser mode.  </w:t>
      </w:r>
      <w:r>
        <w:rPr>
          <w:u w:val="single"/>
        </w:rPr>
        <w:t>Id.</w:t>
      </w:r>
    </w:p>
    <w:p>
      <w:pPr>
        <w:pStyle w:val="Normal"/>
        <w:spacing w:lineRule="auto" w:line="480"/>
        <w:rPr/>
      </w:pPr>
      <w:r>
        <w:rPr/>
        <w:tab/>
        <w:tab/>
      </w:r>
      <w:r>
        <w:rPr>
          <w:b/>
          <w:bCs/>
        </w:rPr>
        <w:t>2.</w:t>
        <w:tab/>
        <w:t>Planning Reserve</w:t>
      </w:r>
    </w:p>
    <w:p>
      <w:pPr>
        <w:pStyle w:val="Normal"/>
        <w:spacing w:lineRule="auto" w:line="480"/>
        <w:rPr/>
      </w:pPr>
      <w:r>
        <w:rPr/>
        <w:tab/>
        <w:t>SPP Criteria 2.0 “Capacity Margin” requires and provides for the sharing of reserve generating capacity as a means of reducing capacity requirements of each SPP member and providing reliable electric service to firm customers.  Criteria at 2-1.  Criteria 2.1.9 establishes a Minimum Required Capacity Margin as follows:</w:t>
      </w:r>
    </w:p>
    <w:p>
      <w:pPr>
        <w:pStyle w:val="Normal"/>
        <w:spacing w:lineRule="auto" w:line="480"/>
        <w:ind w:start="1440" w:end="0"/>
        <w:jc w:val="start"/>
        <w:rPr>
          <w:b/>
          <w:bCs/>
        </w:rPr>
      </w:pPr>
      <w:r>
        <w:rPr>
          <w:b/>
          <w:bCs/>
        </w:rPr>
        <w:t>2.1.9</w:t>
        <w:tab/>
        <w:t>Minimum Required Capacity Margin</w:t>
      </w:r>
      <w:r>
        <w:rPr/>
        <w:t>.</w:t>
      </w:r>
    </w:p>
    <w:p>
      <w:pPr>
        <w:pStyle w:val="Normal"/>
        <w:ind w:start="1440" w:end="1440"/>
        <w:rPr/>
      </w:pPr>
      <w:r>
        <w:rPr/>
        <w:t>Each Load Serving Member’s</w:t>
      </w:r>
      <w:r>
        <w:rPr>
          <w:vertAlign w:val="superscript"/>
        </w:rPr>
        <w:t>[</w:t>
      </w:r>
      <w:r>
        <w:rPr>
          <w:rStyle w:val="FootnoteCharacters"/>
          <w:rStyle w:val="FootnoteReference"/>
        </w:rPr>
        <w:footnoteReference w:id="36"/>
      </w:r>
      <w:r>
        <w:rPr>
          <w:vertAlign w:val="superscript"/>
        </w:rPr>
        <w:t>]</w:t>
      </w:r>
      <w:r>
        <w:rPr/>
        <w:t xml:space="preserve"> Minimum Required Capacity Margin shall be twelve percent.  If a Load Serving Member’s System Capacity for a Capacity Year is comprised of at least seventy-five percent hydro-based generation, then such Load Serving Member’s Minimum Required Capacity Margin for that Capacity Year shall be nine percent.</w:t>
      </w:r>
    </w:p>
    <w:p>
      <w:pPr>
        <w:pStyle w:val="Normal"/>
        <w:ind w:start="1440" w:end="1440"/>
        <w:rPr/>
      </w:pPr>
      <w:r>
        <w:rPr/>
      </w:r>
    </w:p>
    <w:p>
      <w:pPr>
        <w:pStyle w:val="Normal"/>
        <w:spacing w:lineRule="auto" w:line="480"/>
        <w:rPr/>
      </w:pPr>
      <w:r>
        <w:rPr/>
        <w:tab/>
        <w:t xml:space="preserve">Capacity Margin is defined in Criteria 2.1.7 as the “amount by which a Load Serving Member’s System Capacity exceeds its System Peak Responsibility.”  </w:t>
      </w:r>
      <w:r>
        <w:rPr>
          <w:u w:val="single"/>
        </w:rPr>
        <w:t>Id.</w:t>
      </w:r>
      <w:r>
        <w:rPr/>
        <w:t xml:space="preserve"> at 2-2.  “System Capacity” is defined as:</w:t>
      </w:r>
    </w:p>
    <w:p>
      <w:pPr>
        <w:pStyle w:val="Normal"/>
        <w:ind w:start="1440" w:end="1440"/>
        <w:rPr>
          <w:b/>
          <w:bCs/>
        </w:rPr>
      </w:pPr>
      <w:r>
        <w:rPr>
          <w:b/>
          <w:bCs/>
        </w:rPr>
        <w:t>2.1.3</w:t>
        <w:tab/>
        <w:t>System Capacity</w:t>
      </w:r>
    </w:p>
    <w:p>
      <w:pPr>
        <w:pStyle w:val="Normal"/>
        <w:ind w:start="1440" w:end="1440"/>
        <w:rPr>
          <w:b/>
          <w:bCs/>
        </w:rPr>
      </w:pPr>
      <w:r>
        <w:rPr>
          <w:b/>
          <w:bCs/>
        </w:rPr>
      </w:r>
    </w:p>
    <w:p>
      <w:pPr>
        <w:pStyle w:val="Normal"/>
        <w:ind w:start="1440" w:end="1440"/>
        <w:rPr/>
      </w:pPr>
      <w:r>
        <w:rPr/>
        <w:t>A Load Serving Member’s System Capacity shall be equal to the capability of its generating facilities, including its ownership share of jointly owned units, demonstrated under procedures set forth in SPP generating equipment rating criteria, adjusted to reflect the purchase from and/or sale to any other party of generating capacity or SPP defined Operating Reserve, under any appropriate agreement.  For purchases and sales, the contract amount governs regardless for the amount actually delivered at the time of such Load Serving Member’s greatest Net Load.</w:t>
      </w:r>
      <w:r>
        <w:rPr>
          <w:vertAlign w:val="superscript"/>
        </w:rPr>
        <w:t>[</w:t>
      </w:r>
      <w:r>
        <w:rPr>
          <w:rStyle w:val="FootnoteCharacters"/>
          <w:rStyle w:val="FootnoteReference"/>
        </w:rPr>
        <w:footnoteReference w:id="37"/>
      </w:r>
      <w:r>
        <w:rPr>
          <w:vertAlign w:val="superscript"/>
        </w:rPr>
        <w:t>]</w:t>
      </w:r>
      <w:r>
        <w:rPr/>
        <w:t xml:space="preserve">  Capacity purchases shall only be considered if Firm Transmission Service is in place to the Load Serving Member for delivery of power from such capacity.</w:t>
      </w:r>
    </w:p>
    <w:p>
      <w:pPr>
        <w:pStyle w:val="Normal"/>
        <w:ind w:start="1440" w:end="1440"/>
        <w:rPr/>
      </w:pPr>
      <w:r>
        <w:rPr/>
      </w:r>
    </w:p>
    <w:p>
      <w:pPr>
        <w:pStyle w:val="Normal"/>
        <w:spacing w:lineRule="auto" w:line="480"/>
        <w:rPr/>
      </w:pPr>
      <w:r>
        <w:rPr>
          <w:u w:val="single"/>
        </w:rPr>
        <w:t>Id.</w:t>
      </w:r>
      <w:r>
        <w:rPr/>
        <w:t xml:space="preserve"> at 2-1.</w:t>
      </w:r>
    </w:p>
    <w:p>
      <w:pPr>
        <w:pStyle w:val="Normal"/>
        <w:spacing w:lineRule="auto" w:line="480"/>
        <w:rPr/>
      </w:pPr>
      <w:r>
        <w:rPr/>
        <w:tab/>
        <w:t>“System Peak Responsibility” is defined as:</w:t>
      </w:r>
    </w:p>
    <w:p>
      <w:pPr>
        <w:pStyle w:val="Normal"/>
        <w:ind w:start="1440" w:end="1440"/>
        <w:jc w:val="start"/>
        <w:rPr>
          <w:b/>
          <w:bCs/>
        </w:rPr>
      </w:pPr>
      <w:r>
        <w:rPr>
          <w:b/>
          <w:bCs/>
        </w:rPr>
        <w:t>2.1.6</w:t>
        <w:tab/>
        <w:t>System Peak Responsibility</w:t>
      </w:r>
    </w:p>
    <w:p>
      <w:pPr>
        <w:pStyle w:val="Normal"/>
        <w:ind w:start="1440" w:end="1440"/>
        <w:rPr/>
      </w:pPr>
      <w:r>
        <w:rPr/>
      </w:r>
    </w:p>
    <w:p>
      <w:pPr>
        <w:pStyle w:val="Normal"/>
        <w:ind w:start="1440" w:end="1440"/>
        <w:rPr/>
      </w:pPr>
      <w:r>
        <w:rPr/>
        <w:t>System Peak Responsibility of a Load Serving Member for any Capacity Year shall mean the Load Serving Member’s greatest Net Load during that Capacity Year plus:</w:t>
      </w:r>
    </w:p>
    <w:p>
      <w:pPr>
        <w:pStyle w:val="Normal"/>
        <w:ind w:start="1440" w:end="1440"/>
        <w:rPr/>
      </w:pPr>
      <w:r>
        <w:rPr/>
        <w:t>(a) The contract amount of Firm Power sold to others under agreements in effect as of the time of such Load Serving Member’s greatest Net Load which provide for the sale of a specified amount of Firm Power; and minus</w:t>
      </w:r>
    </w:p>
    <w:p>
      <w:pPr>
        <w:pStyle w:val="Normal"/>
        <w:ind w:start="1440" w:end="1440"/>
        <w:rPr/>
      </w:pPr>
      <w:r>
        <w:rPr/>
        <w:t>(b)  The contract amount of Firm Power purchased from others under agreements in effect as of the time of such Load Serving Member’s greatest Net Load which provide for the purchase of a specified amount of Firm Power.</w:t>
      </w:r>
    </w:p>
    <w:p>
      <w:pPr>
        <w:pStyle w:val="Normal"/>
        <w:ind w:start="1440" w:end="1440"/>
        <w:rPr/>
      </w:pPr>
      <w:r>
        <w:rPr/>
        <w:t>In each case, the contract amount governs regardless of the amount actually delivered at the time of a Load Serving Member’s greatest Net Load.</w:t>
      </w:r>
    </w:p>
    <w:p>
      <w:pPr>
        <w:pStyle w:val="Normal"/>
        <w:ind w:start="1440" w:end="1440"/>
        <w:rPr/>
      </w:pPr>
      <w:r>
        <w:rPr/>
      </w:r>
    </w:p>
    <w:p>
      <w:pPr>
        <w:pStyle w:val="Normal"/>
        <w:spacing w:lineRule="auto" w:line="480"/>
        <w:rPr/>
      </w:pPr>
      <w:r>
        <w:rPr>
          <w:u w:val="single"/>
        </w:rPr>
        <w:t>Id.</w:t>
      </w:r>
      <w:r>
        <w:rPr/>
        <w:t xml:space="preserve"> at 2-2.</w:t>
      </w:r>
    </w:p>
    <w:p>
      <w:pPr>
        <w:pStyle w:val="Normal"/>
        <w:spacing w:lineRule="auto" w:line="480"/>
        <w:ind w:start="1440" w:end="0"/>
        <w:rPr/>
      </w:pPr>
      <w:r>
        <w:rPr>
          <w:b/>
          <w:bCs/>
        </w:rPr>
        <w:t>3.</w:t>
      </w:r>
      <w:r>
        <w:rPr/>
        <w:tab/>
      </w:r>
      <w:r>
        <w:rPr>
          <w:b/>
          <w:bCs/>
        </w:rPr>
        <w:t>Firm Power</w:t>
      </w:r>
      <w:r>
        <w:fldChar w:fldCharType="begin"/>
      </w:r>
      <w:r>
        <w:rPr/>
        <w:instrText xml:space="preserve"> TC "3.</w:instrText>
        <w:tab/>
        <w:instrText xml:space="preserve">Firm Power" \l 3 </w:instrText>
      </w:r>
      <w:r>
        <w:rPr/>
        <w:fldChar w:fldCharType="separate"/>
      </w:r>
      <w:r>
        <w:rPr/>
      </w:r>
      <w:r>
        <w:rPr/>
        <w:fldChar w:fldCharType="end"/>
      </w:r>
      <w:bookmarkStart w:id="26" w:name="__RefHeading___Toc473367267"/>
      <w:bookmarkEnd w:id="26"/>
    </w:p>
    <w:p>
      <w:pPr>
        <w:pStyle w:val="Normal"/>
        <w:spacing w:lineRule="auto" w:line="480"/>
        <w:rPr/>
      </w:pPr>
      <w:r>
        <w:rPr/>
        <w:tab/>
        <w:t xml:space="preserve"> “Firm Power” is defined as follows:</w:t>
      </w:r>
    </w:p>
    <w:p>
      <w:pPr>
        <w:pStyle w:val="Normal"/>
        <w:spacing w:lineRule="auto" w:line="480"/>
        <w:ind w:start="1440" w:end="0"/>
        <w:jc w:val="start"/>
        <w:rPr>
          <w:b/>
          <w:bCs/>
        </w:rPr>
      </w:pPr>
      <w:r>
        <w:rPr>
          <w:b/>
          <w:bCs/>
        </w:rPr>
        <w:t>2.1.2</w:t>
        <w:tab/>
        <w:t>Firm Power</w:t>
      </w:r>
    </w:p>
    <w:p>
      <w:pPr>
        <w:pStyle w:val="Normal"/>
        <w:ind w:start="1440" w:end="1440"/>
        <w:rPr/>
      </w:pPr>
      <w:r>
        <w:rPr/>
        <w:t>Firm Power shall mean electric power which is intended to be continuously available to the buyer even under adverse conditions; i.e., power for which the seller assumes the obligation to provide capacity (including SPP defined Capacity Margin) and energy.  Such power shall meet standards of reliability and availability as that delivered to native load customers.  For purchases and sales, the contract amount governs regardless of the amount actually delivered at the time of such Load Serving Member’s greatest Net Load.  Power purchased shall only be considered to be Firm Power if Firm Transmission Service is in place to the Load Serving Member for delivery of such power.  Firm Power does not include “financially firm” power.</w:t>
      </w:r>
    </w:p>
    <w:p>
      <w:pPr>
        <w:pStyle w:val="Normal"/>
        <w:ind w:start="1440" w:end="1440"/>
        <w:rPr/>
      </w:pPr>
      <w:r>
        <w:rPr/>
      </w:r>
    </w:p>
    <w:p>
      <w:pPr>
        <w:pStyle w:val="Normal"/>
        <w:spacing w:lineRule="auto" w:line="480"/>
        <w:rPr/>
      </w:pPr>
      <w:r>
        <w:rPr/>
        <w:tab/>
        <w:t xml:space="preserve">A similar definition appears in Criteria 6.2.13.  </w:t>
      </w:r>
      <w:r>
        <w:rPr>
          <w:u w:val="single"/>
        </w:rPr>
        <w:t>Id.</w:t>
      </w:r>
      <w:r>
        <w:rPr/>
        <w:t xml:space="preserve"> at 6-4.</w:t>
      </w:r>
    </w:p>
    <w:p>
      <w:pPr>
        <w:pStyle w:val="Normal"/>
        <w:spacing w:lineRule="auto" w:line="480"/>
        <w:ind w:hanging="720" w:start="1440" w:end="0"/>
        <w:rPr/>
      </w:pPr>
      <w:r>
        <w:rPr>
          <w:b/>
          <w:bCs/>
        </w:rPr>
        <w:t>I.</w:t>
        <w:tab/>
      </w:r>
      <w:r>
        <w:rPr>
          <w:b/>
          <w:bCs/>
          <w:u w:val="single"/>
        </w:rPr>
        <w:t>Florida Reliability Coordinating Council</w:t>
      </w:r>
      <w:r>
        <w:rPr>
          <w:b/>
          <w:bCs/>
        </w:rPr>
        <w:t xml:space="preserve"> (“</w:t>
      </w:r>
      <w:r>
        <w:rPr>
          <w:b/>
          <w:bCs/>
          <w:u w:val="single"/>
        </w:rPr>
        <w:t>FRCC</w:t>
      </w:r>
      <w:r>
        <w:rPr>
          <w:b/>
          <w:bCs/>
        </w:rPr>
        <w:t>”)</w:t>
      </w:r>
      <w:r>
        <w:fldChar w:fldCharType="begin"/>
      </w:r>
      <w:r>
        <w:rPr/>
        <w:instrText xml:space="preserve"> TC "I.</w:instrText>
        <w:tab/>
        <w:instrText xml:space="preserve">Florida Reliability Coordinating Council (FRCC)" \l 2 </w:instrText>
      </w:r>
      <w:r>
        <w:rPr/>
        <w:fldChar w:fldCharType="separate"/>
      </w:r>
      <w:r>
        <w:rPr/>
      </w:r>
      <w:r>
        <w:rPr/>
        <w:fldChar w:fldCharType="end"/>
      </w:r>
      <w:bookmarkStart w:id="27" w:name="__RefHeading___Toc473367268"/>
      <w:bookmarkEnd w:id="27"/>
    </w:p>
    <w:p>
      <w:pPr>
        <w:pStyle w:val="Normal"/>
        <w:spacing w:lineRule="auto" w:line="480"/>
        <w:ind w:hanging="720" w:start="2160" w:end="0"/>
        <w:rPr/>
      </w:pPr>
      <w:r>
        <w:rPr>
          <w:b/>
          <w:bCs/>
        </w:rPr>
        <w:t>1.</w:t>
        <w:tab/>
        <w:t>Operating Reserves</w:t>
      </w:r>
      <w:r>
        <w:fldChar w:fldCharType="begin"/>
      </w:r>
      <w:r>
        <w:rPr/>
        <w:instrText xml:space="preserve"> TC "1.</w:instrText>
        <w:tab/>
        <w:instrText xml:space="preserve">Operating Reserves" \l 3 </w:instrText>
      </w:r>
      <w:r>
        <w:rPr/>
        <w:fldChar w:fldCharType="separate"/>
      </w:r>
      <w:r>
        <w:rPr/>
      </w:r>
      <w:r>
        <w:rPr/>
        <w:fldChar w:fldCharType="end"/>
      </w:r>
      <w:bookmarkStart w:id="28" w:name="__RefHeading___Toc473367269"/>
      <w:bookmarkEnd w:id="28"/>
    </w:p>
    <w:p>
      <w:pPr>
        <w:pStyle w:val="Normal"/>
        <w:spacing w:lineRule="auto" w:line="480"/>
        <w:rPr/>
      </w:pPr>
      <w:r>
        <w:rPr/>
        <w:tab/>
        <w:t>FRCC has adopted the NERC’s Operating Policies and Standards and conducts “Reliability Audits” to ensure compliance.</w:t>
      </w:r>
      <w:r>
        <w:rPr>
          <w:rStyle w:val="FootnoteCharacters"/>
          <w:rStyle w:val="FootnoteReference"/>
        </w:rPr>
        <w:footnoteReference w:id="38"/>
      </w:r>
      <w:r>
        <w:rPr/>
        <w:t xml:space="preserve">  Appendix C “Regional Reliability Audit Process” includes a “NERC Guides Compliance Checklist” with operating reserve requirements based on NERC Policy 1.  </w:t>
      </w:r>
      <w:r>
        <w:rPr>
          <w:u w:val="single"/>
        </w:rPr>
        <w:t>Id.</w:t>
      </w:r>
      <w:r>
        <w:rPr/>
        <w:t xml:space="preserve"> at 23-24.</w:t>
      </w:r>
    </w:p>
    <w:p>
      <w:pPr>
        <w:pStyle w:val="Normal"/>
        <w:spacing w:lineRule="auto" w:line="480"/>
        <w:ind w:hanging="720" w:start="2160" w:end="0"/>
        <w:rPr/>
      </w:pPr>
      <w:r>
        <w:rPr>
          <w:b/>
          <w:bCs/>
        </w:rPr>
        <w:t>2.</w:t>
        <w:tab/>
        <w:t>Planning Reserves</w:t>
      </w:r>
      <w:r>
        <w:fldChar w:fldCharType="begin"/>
      </w:r>
      <w:r>
        <w:rPr/>
        <w:instrText xml:space="preserve"> TC "2.</w:instrText>
        <w:tab/>
        <w:instrText xml:space="preserve">Planning Reserves" \l 3 </w:instrText>
      </w:r>
      <w:r>
        <w:rPr/>
        <w:fldChar w:fldCharType="separate"/>
      </w:r>
      <w:r>
        <w:rPr/>
      </w:r>
      <w:r>
        <w:rPr/>
        <w:fldChar w:fldCharType="end"/>
      </w:r>
      <w:bookmarkStart w:id="29" w:name="__RefHeading___Toc473367270"/>
      <w:bookmarkEnd w:id="29"/>
    </w:p>
    <w:p>
      <w:pPr>
        <w:pStyle w:val="Normal"/>
        <w:spacing w:lineRule="auto" w:line="480"/>
        <w:rPr/>
      </w:pPr>
      <w:r>
        <w:rPr/>
        <w:tab/>
        <w:t>FRCC’s “Planning Principles and Guides” sets forth criteria to be used in conjunction with its member systems’ “internal criteria relating to load forecasting, resource planning, and transmission planning.”</w:t>
      </w:r>
      <w:r>
        <w:rPr>
          <w:rStyle w:val="FootnoteCharacters"/>
          <w:rStyle w:val="FootnoteReference"/>
        </w:rPr>
        <w:footnoteReference w:id="39"/>
      </w:r>
      <w:r>
        <w:rPr/>
        <w:t xml:space="preserve">  FRCC’s Planning Principles include “Guides” for resources that provide, among other things, that:  “Adequate</w:t>
      </w:r>
      <w:r>
        <w:rPr>
          <w:vertAlign w:val="superscript"/>
        </w:rPr>
        <w:t>[</w:t>
      </w:r>
      <w:r>
        <w:rPr>
          <w:rStyle w:val="FootnoteCharacters"/>
          <w:rStyle w:val="FootnoteReference"/>
        </w:rPr>
        <w:footnoteReference w:id="40"/>
      </w:r>
      <w:r>
        <w:rPr>
          <w:vertAlign w:val="superscript"/>
        </w:rPr>
        <w:t>]</w:t>
      </w:r>
      <w:r>
        <w:rPr/>
        <w:t xml:space="preserve"> margins should be provided in both active (real) and reactive power resources.”  Planning Principles, Resources, General Guide 3, at 3.  In its Regional Self Assessment, FRCC referenced a “reserve margin” standard of 15% as its guideline in assessing the adequacy of power resources.</w:t>
      </w:r>
      <w:r>
        <w:rPr>
          <w:rStyle w:val="FootnoteCharacters"/>
          <w:rStyle w:val="FootnoteReference"/>
        </w:rPr>
        <w:footnoteReference w:id="41"/>
      </w:r>
    </w:p>
    <w:p>
      <w:pPr>
        <w:pStyle w:val="Normal"/>
        <w:spacing w:lineRule="auto" w:line="480"/>
        <w:ind w:hanging="720" w:start="1440" w:end="0"/>
        <w:rPr>
          <w:b/>
          <w:bCs/>
        </w:rPr>
      </w:pPr>
      <w:r>
        <w:rPr>
          <w:b/>
          <w:bCs/>
        </w:rPr>
        <w:t>J.</w:t>
        <w:tab/>
      </w:r>
      <w:r>
        <w:rPr>
          <w:b/>
          <w:bCs/>
          <w:u w:val="single"/>
        </w:rPr>
        <w:t>Southeastern Electric Reliability Council</w:t>
      </w:r>
      <w:r>
        <w:rPr>
          <w:b/>
          <w:bCs/>
        </w:rPr>
        <w:t xml:space="preserve"> (“</w:t>
      </w:r>
      <w:r>
        <w:rPr>
          <w:b/>
          <w:bCs/>
          <w:u w:val="single"/>
        </w:rPr>
        <w:t>SERC</w:t>
      </w:r>
      <w:r>
        <w:rPr>
          <w:b/>
          <w:bCs/>
        </w:rPr>
        <w:t>”)</w:t>
      </w:r>
      <w:r>
        <w:fldChar w:fldCharType="begin"/>
      </w:r>
      <w:r>
        <w:rPr/>
        <w:instrText xml:space="preserve"> TC "J.</w:instrText>
        <w:tab/>
        <w:instrText xml:space="preserve">Southeastern Electric Reliability Council (SERC)" \l 2 </w:instrText>
      </w:r>
      <w:r>
        <w:rPr/>
        <w:fldChar w:fldCharType="separate"/>
      </w:r>
      <w:r>
        <w:rPr/>
      </w:r>
      <w:r>
        <w:rPr/>
        <w:fldChar w:fldCharType="end"/>
      </w:r>
      <w:bookmarkStart w:id="30" w:name="__RefHeading___Toc473367271"/>
      <w:bookmarkEnd w:id="30"/>
    </w:p>
    <w:p>
      <w:pPr>
        <w:pStyle w:val="Normal"/>
        <w:spacing w:lineRule="auto" w:line="480"/>
        <w:ind w:hanging="720" w:start="2160" w:end="0"/>
        <w:rPr/>
      </w:pPr>
      <w:r>
        <w:rPr>
          <w:b/>
          <w:bCs/>
        </w:rPr>
        <w:t>1.</w:t>
        <w:tab/>
        <w:t>Operating Reserves</w:t>
      </w:r>
      <w:r>
        <w:fldChar w:fldCharType="begin"/>
      </w:r>
      <w:r>
        <w:rPr/>
        <w:instrText xml:space="preserve"> TC "1.</w:instrText>
        <w:tab/>
        <w:instrText xml:space="preserve">Operating Reserves" \l 3 </w:instrText>
      </w:r>
      <w:r>
        <w:rPr/>
        <w:fldChar w:fldCharType="separate"/>
      </w:r>
      <w:r>
        <w:rPr/>
      </w:r>
      <w:r>
        <w:rPr/>
        <w:fldChar w:fldCharType="end"/>
      </w:r>
      <w:bookmarkStart w:id="31" w:name="__RefHeading___Toc473367272"/>
      <w:bookmarkEnd w:id="31"/>
    </w:p>
    <w:p>
      <w:pPr>
        <w:pStyle w:val="Normal"/>
        <w:spacing w:lineRule="auto" w:line="480"/>
        <w:rPr/>
      </w:pPr>
      <w:r>
        <w:rPr/>
        <w:tab/>
        <w:t>SRCC, like FRCC, “subscribes to and fully supports the NERC Operating Guides.”</w:t>
      </w:r>
      <w:r>
        <w:rPr>
          <w:rStyle w:val="FootnoteCharacters"/>
          <w:rStyle w:val="FootnoteReference"/>
        </w:rPr>
        <w:footnoteReference w:id="42"/>
      </w:r>
      <w:r>
        <w:rPr/>
        <w:t xml:space="preserve">  The SERC-OC Operating Guide II “Systems Security” sets forth operating reserve requirements based on NERC Policy I.</w:t>
      </w:r>
      <w:r>
        <w:rPr>
          <w:rStyle w:val="FootnoteCharacters"/>
          <w:rStyle w:val="FootnoteReference"/>
        </w:rPr>
        <w:footnoteReference w:id="43"/>
      </w:r>
    </w:p>
    <w:p>
      <w:pPr>
        <w:pStyle w:val="Normal"/>
        <w:spacing w:lineRule="auto" w:line="480"/>
        <w:ind w:hanging="720" w:start="2160" w:end="0"/>
        <w:rPr/>
      </w:pPr>
      <w:r>
        <w:rPr>
          <w:b/>
          <w:bCs/>
        </w:rPr>
        <w:t>2.</w:t>
        <w:tab/>
        <w:t>Planning Reserves</w:t>
      </w:r>
      <w:r>
        <w:fldChar w:fldCharType="begin"/>
      </w:r>
      <w:r>
        <w:rPr/>
        <w:instrText xml:space="preserve"> TC "2.</w:instrText>
        <w:tab/>
        <w:instrText xml:space="preserve">Planning Reserves" \l 3 </w:instrText>
      </w:r>
      <w:r>
        <w:rPr/>
        <w:fldChar w:fldCharType="separate"/>
      </w:r>
      <w:r>
        <w:rPr/>
      </w:r>
      <w:r>
        <w:rPr/>
        <w:fldChar w:fldCharType="end"/>
      </w:r>
      <w:bookmarkStart w:id="32" w:name="__RefHeading___Toc473367273"/>
      <w:bookmarkEnd w:id="32"/>
    </w:p>
    <w:p>
      <w:pPr>
        <w:pStyle w:val="Normal"/>
        <w:spacing w:lineRule="auto" w:line="480"/>
        <w:rPr/>
      </w:pPr>
      <w:r>
        <w:rPr/>
        <w:tab/>
        <w:t>SRCC has adopted planning principles that are identical to those adopted by the FRCC.</w:t>
      </w:r>
      <w:r>
        <w:rPr>
          <w:rStyle w:val="FootnoteCharacters"/>
          <w:rStyle w:val="FootnoteReference"/>
        </w:rPr>
        <w:footnoteReference w:id="44"/>
      </w:r>
      <w:r>
        <w:rPr/>
        <w:t xml:space="preserve">  In its Regional Self Assessment, SERC stated that its resource margin is expected to decline from a high of 12.7% in 1998 to a low of 8.8% in 2007.</w:t>
      </w:r>
      <w:r>
        <w:rPr>
          <w:rStyle w:val="FootnoteCharacters"/>
          <w:rStyle w:val="FootnoteReference"/>
        </w:rPr>
        <w:footnoteReference w:id="45"/>
      </w:r>
      <w:r>
        <w:rPr/>
        <w:t xml:space="preserve">  SERC further stated that the systems in SERC “plan to maintain capacity margins at or above 9%” during the 10-year reporting period 1998-2007.  </w:t>
      </w:r>
      <w:r>
        <w:rPr>
          <w:u w:val="single"/>
        </w:rPr>
        <w:t>Id.</w:t>
      </w:r>
    </w:p>
    <w:p>
      <w:pPr>
        <w:pStyle w:val="Normal"/>
        <w:spacing w:lineRule="auto" w:line="480"/>
        <w:rPr/>
      </w:pPr>
      <w:r>
        <w:rPr/>
      </w:r>
    </w:p>
    <w:p>
      <w:pPr>
        <w:pStyle w:val="Normal"/>
        <w:spacing w:lineRule="auto" w:line="480"/>
        <w:rPr/>
      </w:pPr>
      <w:r>
        <w:rPr/>
      </w:r>
    </w:p>
    <w:p>
      <w:pPr>
        <w:pStyle w:val="Normal"/>
        <w:spacing w:lineRule="auto" w:line="480"/>
        <w:rPr>
          <w:sz w:val="20"/>
          <w:szCs w:val="20"/>
        </w:rPr>
      </w:pPr>
      <w:r>
        <w:rPr>
          <w:sz w:val="20"/>
          <w:szCs w:val="20"/>
        </w:rPr>
        <w:t>K:\WSPP\1001-107-147.doc</w:t>
      </w:r>
    </w:p>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440" w:footer="720" w:bottom="129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“Introduction to the Operating Policies,” Approved by NERC Operating Committee:  August 31, 1998, at I-2.  NERC Operating Policies place the responsibility for operating reliability primarily on Control Areas operating within the four North American Interconnections.  </w:t>
      </w:r>
      <w:r>
        <w:rPr>
          <w:u w:val="single"/>
        </w:rPr>
        <w:t>Id.</w:t>
      </w:r>
    </w:p>
  </w:footnote>
  <w:footnote w:id="3">
    <w:p>
      <w:pPr>
        <w:pStyle w:val="FootnoteText"/>
        <w:spacing w:before="0" w:after="240"/>
        <w:ind w:hanging="720" w:start="720" w:end="0"/>
        <w:rPr/>
      </w:pPr>
      <w:r>
        <w:rPr>
          <w:rStyle w:val="FootnoteCharacters"/>
        </w:rPr>
        <w:footnoteRef/>
      </w:r>
      <w:r>
        <w:rPr/>
        <w:t xml:space="preserve"> </w:t>
      </w:r>
      <w:r>
        <w:rPr/>
        <w:tab/>
        <w:t>NERC Policy 1 discussed herein was approved by NERC’s Security Committee for interim implementation from November 17, 1999 through March 30, 2000.</w:t>
      </w:r>
    </w:p>
  </w:footnote>
  <w:footnote w:id="4">
    <w:p>
      <w:pPr>
        <w:pStyle w:val="FootnoteText"/>
        <w:spacing w:before="0" w:after="240"/>
        <w:ind w:hanging="720" w:start="720" w:end="0"/>
        <w:rPr/>
      </w:pPr>
      <w:r>
        <w:rPr>
          <w:rStyle w:val="FootnoteCharacters"/>
        </w:rPr>
        <w:footnoteRef/>
      </w:r>
      <w:r>
        <w:rPr/>
        <w:t xml:space="preserve"> </w:t>
      </w:r>
      <w:r>
        <w:rPr/>
        <w:tab/>
        <w:t>NERC Planning Standards, September 1997 (“Standards”).</w:t>
      </w:r>
    </w:p>
  </w:footnote>
  <w:footnote w:id="5">
    <w:p>
      <w:pPr>
        <w:pStyle w:val="FootnoteText"/>
        <w:spacing w:before="0" w:after="240"/>
        <w:ind w:hanging="720" w:start="720" w:end="0"/>
        <w:rPr/>
      </w:pPr>
      <w:r>
        <w:rPr>
          <w:rStyle w:val="FootnoteCharacters"/>
        </w:rPr>
        <w:footnoteRef/>
      </w:r>
      <w:r>
        <w:rPr/>
        <w:t xml:space="preserve"> </w:t>
      </w:r>
      <w:r>
        <w:rPr/>
        <w:tab/>
        <w:t xml:space="preserve">NERC Reliability Assessment 1998-2007, September 1998 (“NERC RA”).  The NERC RA reflected conditions projected as of January 1, 1998.  </w:t>
      </w:r>
      <w:r>
        <w:rPr>
          <w:u w:val="single"/>
        </w:rPr>
        <w:t>Id.</w:t>
      </w:r>
      <w:r>
        <w:rPr/>
        <w:t xml:space="preserve"> at 3.</w:t>
      </w:r>
    </w:p>
  </w:footnote>
  <w:footnote w:id="6">
    <w:p>
      <w:pPr>
        <w:pStyle w:val="FootnoteText"/>
        <w:spacing w:before="0" w:after="240"/>
        <w:ind w:hanging="720" w:start="720" w:end="0"/>
        <w:rPr/>
      </w:pPr>
      <w:r>
        <w:rPr>
          <w:rStyle w:val="FootnoteCharacters"/>
        </w:rPr>
        <w:footnoteRef/>
      </w:r>
      <w:r>
        <w:rPr/>
        <w:t xml:space="preserve"> </w:t>
      </w:r>
      <w:r>
        <w:rPr/>
        <w:tab/>
        <w:t xml:space="preserve">Figure 3 showed “Capacity Margins United States-Summer” declining from 16% in 1998 to nearly 10% in 2007.  </w:t>
      </w:r>
      <w:r>
        <w:rPr>
          <w:u w:val="single"/>
        </w:rPr>
        <w:t>Id.</w:t>
      </w:r>
    </w:p>
  </w:footnote>
  <w:footnote w:id="7">
    <w:p>
      <w:pPr>
        <w:pStyle w:val="FootnoteText"/>
        <w:spacing w:before="0" w:after="240"/>
        <w:ind w:hanging="720" w:start="720" w:end="0"/>
        <w:rPr/>
      </w:pPr>
      <w:r>
        <w:rPr>
          <w:rStyle w:val="FootnoteCharacters"/>
        </w:rPr>
        <w:footnoteRef/>
      </w:r>
      <w:r>
        <w:rPr/>
        <w:t xml:space="preserve"> </w:t>
      </w:r>
      <w:r>
        <w:rPr/>
        <w:tab/>
        <w:t>Part IV “Definitions” of the WSCC Reliability Criteria defines “Operating Reserve” as “That capability above firm system demand required to provide for regulation, load forecasting error, equipment forced and scheduled outages, and local area protection.  It consists of spinning reserve and nonspinning reserve.”</w:t>
      </w:r>
    </w:p>
  </w:footnote>
  <w:footnote w:id="8">
    <w:p>
      <w:pPr>
        <w:pStyle w:val="FootnoteText"/>
        <w:spacing w:before="0" w:after="240"/>
        <w:ind w:hanging="720" w:start="720" w:end="0"/>
        <w:rPr/>
      </w:pPr>
      <w:r>
        <w:rPr>
          <w:rStyle w:val="FootnoteCharacters"/>
        </w:rPr>
        <w:footnoteRef/>
      </w:r>
      <w:r>
        <w:rPr/>
        <w:t xml:space="preserve"> </w:t>
      </w:r>
      <w:r>
        <w:rPr/>
        <w:tab/>
        <w:t>An explanation, including examples, of how to calculate the above components of Operating Reserve in WSCC Control Areas is provided in “WSCC Operating Reserve White Paper” (“WSCC White Paper”) dated July 16, 1998 at 9-13.</w:t>
      </w:r>
    </w:p>
  </w:footnote>
  <w:footnote w:id="9">
    <w:p>
      <w:pPr>
        <w:pStyle w:val="FootnoteText"/>
        <w:spacing w:before="0" w:after="240"/>
        <w:ind w:hanging="720" w:start="720" w:end="0"/>
        <w:rPr/>
      </w:pPr>
      <w:r>
        <w:rPr>
          <w:rStyle w:val="FootnoteCharacters"/>
        </w:rPr>
        <w:footnoteRef/>
      </w:r>
      <w:r>
        <w:rPr/>
        <w:t xml:space="preserve"> </w:t>
      </w:r>
      <w:r>
        <w:rPr/>
        <w:tab/>
        <w:t xml:space="preserve">“Spinning reserve” is defined as “unloaded generation which is synchronized and ready to serve additional demands. It consists of Regulating Reserve and Contingency Reserve.”  </w:t>
      </w:r>
      <w:r>
        <w:rPr>
          <w:u w:val="single"/>
        </w:rPr>
        <w:t>See</w:t>
      </w:r>
      <w:r>
        <w:rPr/>
        <w:t xml:space="preserve"> WSCC Reliability Criteria, Part IV, Definitions.</w:t>
      </w:r>
    </w:p>
  </w:footnote>
  <w:footnote w:id="10">
    <w:p>
      <w:pPr>
        <w:pStyle w:val="FootnoteText"/>
        <w:spacing w:before="0" w:after="240"/>
        <w:ind w:hanging="720" w:start="720" w:end="0"/>
        <w:rPr/>
      </w:pPr>
      <w:r>
        <w:rPr>
          <w:rStyle w:val="FootnoteCharacters"/>
        </w:rPr>
        <w:footnoteRef/>
      </w:r>
      <w:r>
        <w:rPr/>
        <w:t xml:space="preserve"> </w:t>
      </w:r>
      <w:r>
        <w:rPr/>
        <w:tab/>
        <w:t xml:space="preserve">“Nonspinning Reserve” is defined as “that operating reserve not connected to the system but capable of serving demand within ten minutes, or interruptible load that can be removed from the system within ten minutes.”   </w:t>
      </w:r>
      <w:r>
        <w:rPr>
          <w:u w:val="single"/>
        </w:rPr>
        <w:t>See</w:t>
      </w:r>
      <w:r>
        <w:rPr/>
        <w:t xml:space="preserve"> WSCC Reliability Criteria, Part IV, Definitions.</w:t>
      </w:r>
    </w:p>
  </w:footnote>
  <w:footnote w:id="11">
    <w:p>
      <w:pPr>
        <w:pStyle w:val="FootnoteText"/>
        <w:spacing w:before="0" w:after="240"/>
        <w:ind w:hanging="720" w:start="720" w:end="0"/>
        <w:rPr/>
      </w:pPr>
      <w:r>
        <w:rPr>
          <w:rStyle w:val="FootnoteCharacters"/>
        </w:rPr>
        <w:footnoteRef/>
      </w:r>
      <w:r>
        <w:rPr/>
        <w:t xml:space="preserve"> </w:t>
      </w:r>
      <w:r>
        <w:rPr/>
        <w:tab/>
        <w:t>For an example of how to adjust the contingency reserve requirement during a disturbance see the WSCC White Paper, at 13-14.</w:t>
      </w:r>
    </w:p>
  </w:footnote>
  <w:footnote w:id="12">
    <w:p>
      <w:pPr>
        <w:pStyle w:val="FootnoteText"/>
        <w:spacing w:before="0" w:after="240"/>
        <w:ind w:hanging="720" w:start="720" w:end="0"/>
        <w:rPr/>
      </w:pPr>
      <w:r>
        <w:rPr>
          <w:rStyle w:val="FootnoteCharacters"/>
        </w:rPr>
        <w:footnoteRef/>
      </w:r>
      <w:r>
        <w:rPr/>
        <w:t xml:space="preserve"> </w:t>
      </w:r>
      <w:r>
        <w:rPr/>
        <w:tab/>
        <w:t>NERC RA at 65.</w:t>
      </w:r>
    </w:p>
  </w:footnote>
  <w:footnote w:id="13">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MAIN Guide No. 5A (Revision No. 8) approved April 13, 1999 (“MG5A”).</w:t>
      </w:r>
    </w:p>
  </w:footnote>
  <w:footnote w:id="14">
    <w:p>
      <w:pPr>
        <w:pStyle w:val="FootnoteText"/>
        <w:spacing w:before="0" w:after="240"/>
        <w:ind w:hanging="720" w:start="720" w:end="0"/>
        <w:rPr/>
      </w:pPr>
      <w:r>
        <w:rPr>
          <w:rStyle w:val="FootnoteCharacters"/>
        </w:rPr>
        <w:footnoteRef/>
      </w:r>
      <w:r>
        <w:rPr/>
        <w:t xml:space="preserve"> </w:t>
      </w:r>
      <w:r>
        <w:rPr/>
        <w:tab/>
        <w:t>The minimum amount of ARM for each system within MAIN shall be considered to be the L</w:t>
      </w:r>
      <w:r>
        <w:rPr>
          <w:vertAlign w:val="subscript"/>
        </w:rPr>
        <w:t>D</w:t>
      </w:r>
      <w:r>
        <w:rPr/>
        <w:t xml:space="preserve"> value that is determined annually by each control area for the NERC Performance Subcommittee.  </w:t>
      </w:r>
      <w:r>
        <w:rPr>
          <w:u w:val="single"/>
        </w:rPr>
        <w:t>Id.</w:t>
      </w:r>
      <w:r>
        <w:rPr/>
        <w:t xml:space="preserve">  It is also recognized that individual system load characteristics such as arc furnaces, rolling steel mills, etc. may require a level of ARM well in excess of L</w:t>
      </w:r>
      <w:r>
        <w:rPr>
          <w:vertAlign w:val="subscript"/>
        </w:rPr>
        <w:t>D</w:t>
      </w:r>
      <w:r>
        <w:rPr/>
        <w:t xml:space="preserve">.  </w:t>
      </w:r>
      <w:r>
        <w:rPr>
          <w:u w:val="single"/>
        </w:rPr>
        <w:t>Id.</w:t>
      </w:r>
    </w:p>
  </w:footnote>
  <w:footnote w:id="15">
    <w:p>
      <w:pPr>
        <w:pStyle w:val="FootnoteText"/>
        <w:spacing w:before="0" w:after="240"/>
        <w:ind w:hanging="720" w:start="720" w:end="0"/>
        <w:rPr/>
      </w:pPr>
      <w:r>
        <w:rPr>
          <w:rStyle w:val="FootnoteCharacters"/>
        </w:rPr>
        <w:footnoteRef/>
      </w:r>
      <w:r>
        <w:rPr/>
        <w:t xml:space="preserve"> </w:t>
      </w:r>
      <w:r>
        <w:rPr/>
        <w:tab/>
        <w:t xml:space="preserve">Non-Spinning Reserve is defined as that amount of generating capability, or its equivalent, not connected to the system but capable of serving demand within 10 minutes, or interruptible load that can be removed with 10 minutes.  MG5A at 2.  It can include various types of generating capacity and interruptible load.  </w:t>
      </w:r>
      <w:r>
        <w:rPr>
          <w:u w:val="single"/>
        </w:rPr>
        <w:t>Id.</w:t>
      </w:r>
      <w:r>
        <w:rPr/>
        <w:t xml:space="preserve"> at 2-3.</w:t>
      </w:r>
    </w:p>
  </w:footnote>
  <w:footnote w:id="16">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MAIN Guide #6 “Generation Reliability Study 1998-2007” January 29, 1999 at 2.  The report is based on forecasted data as of April 1998; </w:t>
      </w:r>
      <w:r>
        <w:rPr>
          <w:u w:val="single"/>
        </w:rPr>
        <w:t>see also</w:t>
      </w:r>
      <w:r>
        <w:rPr/>
        <w:t xml:space="preserve"> NERC RA at 51.</w:t>
      </w:r>
    </w:p>
  </w:footnote>
  <w:footnote w:id="17">
    <w:p>
      <w:pPr>
        <w:pStyle w:val="FootnoteText"/>
        <w:spacing w:before="0" w:after="240"/>
        <w:ind w:hanging="720" w:start="720" w:end="0"/>
        <w:rPr/>
      </w:pPr>
      <w:r>
        <w:rPr>
          <w:rStyle w:val="FootnoteCharacters"/>
        </w:rPr>
        <w:footnoteRef/>
      </w:r>
      <w:r>
        <w:rPr/>
        <w:t xml:space="preserve"> </w:t>
      </w:r>
      <w:r>
        <w:rPr/>
        <w:tab/>
        <w:t>ERCOT Operating Guides (“ERCOT OG”), May 1999 at 72.</w:t>
      </w:r>
    </w:p>
  </w:footnote>
  <w:footnote w:id="18">
    <w:p>
      <w:pPr>
        <w:pStyle w:val="FootnoteText"/>
        <w:spacing w:before="0" w:after="240"/>
        <w:ind w:hanging="720" w:start="720" w:end="0"/>
        <w:rPr/>
      </w:pPr>
      <w:r>
        <w:rPr>
          <w:rStyle w:val="FootnoteCharacters"/>
        </w:rPr>
        <w:footnoteRef/>
      </w:r>
      <w:r>
        <w:rPr/>
        <w:t xml:space="preserve"> </w:t>
      </w:r>
      <w:r>
        <w:rPr/>
        <w:tab/>
        <w:t>The allocation of RRO is based on peak load of the corresponding month of the previous year and the approved Contingency Reserve Adjustment (“CRA”) Factor.</w:t>
      </w:r>
    </w:p>
  </w:footnote>
  <w:footnote w:id="19">
    <w:p>
      <w:pPr>
        <w:pStyle w:val="FootnoteText"/>
        <w:spacing w:before="0" w:after="240"/>
        <w:ind w:hanging="720" w:start="720" w:end="0"/>
        <w:rPr/>
      </w:pPr>
      <w:r>
        <w:rPr>
          <w:rStyle w:val="FootnoteCharacters"/>
        </w:rPr>
        <w:footnoteRef/>
      </w:r>
      <w:r>
        <w:rPr/>
        <w:t xml:space="preserve"> </w:t>
      </w:r>
      <w:r>
        <w:rPr/>
        <w:tab/>
        <w:t>ECAR Document No. 2 “Daily Operating Reserve” (Revised June 16, 1998) (“ECAR Doc. No. 2”) at 10.</w:t>
      </w:r>
    </w:p>
  </w:footnote>
  <w:footnote w:id="20">
    <w:p>
      <w:pPr>
        <w:pStyle w:val="FootnoteText"/>
        <w:spacing w:before="0" w:after="240"/>
        <w:ind w:hanging="720" w:start="720" w:end="0"/>
        <w:rPr/>
      </w:pPr>
      <w:r>
        <w:rPr>
          <w:rStyle w:val="FootnoteCharacters"/>
        </w:rPr>
        <w:footnoteRef/>
      </w:r>
      <w:r>
        <w:rPr/>
        <w:t xml:space="preserve"> </w:t>
      </w:r>
      <w:r>
        <w:rPr/>
        <w:tab/>
        <w:t>ECAR recognizes that DOR above this minimum may be necessary to meet NERC’s Control Performance Standards and/or load requirements in excess of those forecasted.  ECAR Doc. No. 2 at 3.</w:t>
      </w:r>
    </w:p>
  </w:footnote>
  <w:footnote w:id="21">
    <w:p>
      <w:pPr>
        <w:pStyle w:val="FootnoteText"/>
        <w:spacing w:before="0" w:after="240"/>
        <w:ind w:hanging="720" w:start="720" w:end="0"/>
        <w:rPr/>
      </w:pPr>
      <w:r>
        <w:rPr>
          <w:rStyle w:val="FootnoteCharacters"/>
        </w:rPr>
        <w:footnoteRef/>
      </w:r>
      <w:r>
        <w:rPr/>
        <w:t xml:space="preserve"> </w:t>
      </w:r>
      <w:r>
        <w:rPr/>
        <w:tab/>
        <w:t>ECAR defines “Spinning Reserve” as “unloaded generation which is synchronized and ready to serve additional demand.  Spinning Reserve must be immediately available and capable of being fully loaded within ten minutes.”  ECAR Doc. No. 2 at 10.</w:t>
      </w:r>
    </w:p>
  </w:footnote>
  <w:footnote w:id="22">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ECAR Self Assessment, NERC RA at 42.</w:t>
      </w:r>
    </w:p>
  </w:footnote>
  <w:footnote w:id="23">
    <w:p>
      <w:pPr>
        <w:pStyle w:val="FootnoteText"/>
        <w:spacing w:before="0" w:after="240"/>
        <w:ind w:hanging="720" w:start="720" w:end="0"/>
        <w:rPr/>
      </w:pPr>
      <w:r>
        <w:rPr>
          <w:rStyle w:val="FootnoteCharacters"/>
        </w:rPr>
        <w:footnoteRef/>
      </w:r>
      <w:r>
        <w:rPr/>
        <w:t xml:space="preserve"> </w:t>
      </w:r>
      <w:r>
        <w:rPr/>
        <w:tab/>
        <w:t>Operating Reserve Criteria, Document A-6, Revised September 1998 (“OPR Doc. A-6”).</w:t>
      </w:r>
    </w:p>
  </w:footnote>
  <w:footnote w:id="24">
    <w:p>
      <w:pPr>
        <w:pStyle w:val="FootnoteText"/>
        <w:spacing w:before="0" w:after="240"/>
        <w:ind w:hanging="720" w:start="720" w:end="0"/>
        <w:rPr/>
      </w:pPr>
      <w:r>
        <w:rPr>
          <w:rStyle w:val="FootnoteCharacters"/>
        </w:rPr>
        <w:footnoteRef/>
      </w:r>
      <w:r>
        <w:rPr/>
        <w:t xml:space="preserve"> </w:t>
      </w:r>
      <w:r>
        <w:rPr/>
        <w:tab/>
        <w:t>NPCC Glossary of Terms, NPCC Document A-7, September 1998, at 18.</w:t>
      </w:r>
    </w:p>
  </w:footnote>
  <w:footnote w:id="25">
    <w:p>
      <w:pPr>
        <w:pStyle w:val="FootnoteText"/>
        <w:spacing w:before="0" w:after="240"/>
        <w:ind w:hanging="720" w:start="720" w:end="0"/>
        <w:rPr/>
      </w:pPr>
      <w:r>
        <w:rPr>
          <w:rStyle w:val="FootnoteCharacters"/>
        </w:rPr>
        <w:footnoteRef/>
      </w:r>
      <w:r>
        <w:rPr/>
        <w:t xml:space="preserve"> </w:t>
      </w:r>
      <w:r>
        <w:rPr/>
        <w:tab/>
        <w:t>The NPCC Glossary (at 18) defines “Synchronized Reserve” as the unused portion of generating capacity which is synchronized to the system and ready to pick up load to claimed capacity and capacity which can be made available by curtailing pumping hydro units.</w:t>
      </w:r>
    </w:p>
  </w:footnote>
  <w:footnote w:id="26">
    <w:p>
      <w:pPr>
        <w:pStyle w:val="FootnoteText"/>
        <w:spacing w:before="0" w:after="240"/>
        <w:ind w:hanging="720" w:start="720" w:end="0"/>
        <w:rPr/>
      </w:pPr>
      <w:r>
        <w:rPr>
          <w:rStyle w:val="FootnoteCharacters"/>
        </w:rPr>
        <w:footnoteRef/>
      </w:r>
      <w:r>
        <w:rPr/>
        <w:t xml:space="preserve"> </w:t>
      </w:r>
      <w:r>
        <w:rPr/>
        <w:tab/>
        <w:t>The NPCC Glossary (at 18) defines “Non-Synchronized Reserve” as that portion of operating capacity, which is available for synchronizing to the network and that capacity which can be made available by applying load management techniques such as curtailing interruptible loads or implementing voltage reductions.</w:t>
      </w:r>
    </w:p>
  </w:footnote>
  <w:footnote w:id="27">
    <w:p>
      <w:pPr>
        <w:pStyle w:val="FootnoteText"/>
        <w:spacing w:before="0" w:after="240"/>
        <w:ind w:hanging="720" w:start="720" w:end="0"/>
        <w:rPr/>
      </w:pPr>
      <w:r>
        <w:rPr>
          <w:rStyle w:val="FootnoteCharacters"/>
        </w:rPr>
        <w:footnoteRef/>
      </w:r>
      <w:r>
        <w:rPr/>
        <w:t xml:space="preserve"> </w:t>
      </w:r>
      <w:r>
        <w:rPr/>
        <w:tab/>
        <w:t>An Area refers to one of the following:  New England, New York, Ontario, Quebec or the Canadian Maritimes.  NPCC Glossary at 3.</w:t>
      </w:r>
    </w:p>
  </w:footnote>
  <w:footnote w:id="28">
    <w:p>
      <w:pPr>
        <w:pStyle w:val="FootnoteText"/>
        <w:spacing w:before="0" w:after="240"/>
        <w:ind w:hanging="720" w:start="720" w:end="0"/>
        <w:rPr/>
      </w:pPr>
      <w:r>
        <w:rPr>
          <w:rStyle w:val="FootnoteCharacters"/>
        </w:rPr>
        <w:footnoteRef/>
      </w:r>
      <w:r>
        <w:rPr/>
        <w:t xml:space="preserve"> </w:t>
      </w:r>
      <w:r>
        <w:rPr/>
        <w:tab/>
        <w:t xml:space="preserve">Such procedures are contained in NPCC Document C-19, “Procedures During Shortages of Operating Reserve.” </w:t>
      </w:r>
    </w:p>
  </w:footnote>
  <w:footnote w:id="29">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PJM Manual for PJM Reserve Requirements, Manual M-20, Effective Date:  August 19, 1997 at A-23 (“Manual M-20”).</w:t>
      </w:r>
    </w:p>
  </w:footnote>
  <w:footnote w:id="30">
    <w:p>
      <w:pPr>
        <w:pStyle w:val="FootnoteText"/>
        <w:spacing w:before="0" w:after="240"/>
        <w:ind w:hanging="720" w:start="720" w:end="0"/>
        <w:rPr/>
      </w:pPr>
      <w:r>
        <w:rPr>
          <w:rStyle w:val="FootnoteCharacters"/>
        </w:rPr>
        <w:footnoteRef/>
      </w:r>
      <w:r>
        <w:rPr/>
        <w:t xml:space="preserve"> </w:t>
      </w:r>
      <w:r>
        <w:rPr/>
        <w:tab/>
        <w:t>“Capacity” is defined as megawatts of capacity for both firm energy delivered to load located electrically within the PJM Interconnection and firm energy delivered to the border of the PJM Control Area for receipt by others.  Manual M-20 at A-5.  Firm energy is not defined.</w:t>
      </w:r>
    </w:p>
  </w:footnote>
  <w:footnote w:id="31">
    <w:p>
      <w:pPr>
        <w:pStyle w:val="FootnoteText"/>
        <w:spacing w:before="0" w:after="240"/>
        <w:ind w:hanging="720" w:start="720" w:end="0"/>
        <w:rPr/>
      </w:pPr>
      <w:r>
        <w:rPr>
          <w:rStyle w:val="FootnoteCharacters"/>
        </w:rPr>
        <w:footnoteRef/>
      </w:r>
      <w:r>
        <w:rPr/>
        <w:t xml:space="preserve"> </w:t>
      </w:r>
      <w:r>
        <w:rPr/>
        <w:tab/>
        <w:t>MAAC Reliability Principles and Standards (Revised March 30, 1990).</w:t>
      </w:r>
    </w:p>
  </w:footnote>
  <w:footnote w:id="32">
    <w:p>
      <w:pPr>
        <w:pStyle w:val="FootnoteText"/>
        <w:spacing w:before="0" w:after="240"/>
        <w:ind w:hanging="720" w:start="720" w:end="0"/>
        <w:rPr/>
      </w:pPr>
      <w:r>
        <w:rPr>
          <w:rStyle w:val="FootnoteCharacters"/>
        </w:rPr>
        <w:footnoteRef/>
      </w:r>
      <w:r>
        <w:rPr/>
        <w:t xml:space="preserve"> </w:t>
      </w:r>
      <w:r>
        <w:rPr/>
        <w:tab/>
        <w:t>MAPP Reliability Handbook (“MAPP Handbook”) Section 8 “MAPP System Design and Operating Standards” (July 1999) at § 8.1.</w:t>
      </w:r>
    </w:p>
  </w:footnote>
  <w:footnote w:id="33">
    <w:p>
      <w:pPr>
        <w:pStyle w:val="FootnoteText"/>
        <w:spacing w:before="0" w:after="240"/>
        <w:ind w:hanging="720" w:start="720" w:end="0"/>
        <w:rPr/>
      </w:pPr>
      <w:r>
        <w:rPr>
          <w:rStyle w:val="FootnoteCharacters"/>
        </w:rPr>
        <w:footnoteRef/>
      </w:r>
      <w:r>
        <w:rPr/>
        <w:t xml:space="preserve"> </w:t>
      </w:r>
      <w:r>
        <w:rPr/>
        <w:tab/>
        <w:t>A Party is defined as a signatory to the MAPP Agreement.  MAPP Handbook, § 8.1.1, at 4.</w:t>
      </w:r>
    </w:p>
  </w:footnote>
  <w:footnote w:id="34">
    <w:p>
      <w:pPr>
        <w:pStyle w:val="FootnoteText"/>
        <w:spacing w:before="0" w:after="240"/>
        <w:ind w:hanging="720" w:start="720" w:end="0"/>
        <w:rPr/>
      </w:pPr>
      <w:r>
        <w:rPr>
          <w:rStyle w:val="FootnoteCharacters"/>
        </w:rPr>
        <w:footnoteRef/>
      </w:r>
      <w:r>
        <w:rPr/>
        <w:t xml:space="preserve"> </w:t>
      </w:r>
      <w:r>
        <w:rPr/>
        <w:tab/>
        <w:t>Southwest Power Pool Criteria, July, 1999 (“Criteria”).</w:t>
      </w:r>
    </w:p>
  </w:footnote>
  <w:footnote w:id="35">
    <w:p>
      <w:pPr>
        <w:pStyle w:val="FootnoteText"/>
        <w:spacing w:before="0" w:after="240"/>
        <w:ind w:hanging="720" w:start="720" w:end="0"/>
        <w:rPr/>
      </w:pPr>
      <w:r>
        <w:rPr>
          <w:rStyle w:val="FootnoteCharacters"/>
        </w:rPr>
        <w:footnoteRef/>
      </w:r>
      <w:r>
        <w:rPr/>
        <w:t xml:space="preserve"> </w:t>
      </w:r>
      <w:r>
        <w:rPr/>
        <w:tab/>
        <w:t>An Operating Reserve Contingency (“OPR”) is defined as the “sudden and complete loss of a generating unit, sudden partial loss of generating capacity, loss of a capacity purchase which a control area is unable to replace, or an Other Extreme Condition.  Criteria 6.2.15 at 6-5.  Criteria 6.4.2 describes detailed procedures to be implemented immediately following an OPR.  Criteria at 6-8 through 6-9.</w:t>
      </w:r>
    </w:p>
  </w:footnote>
  <w:footnote w:id="36">
    <w:p>
      <w:pPr>
        <w:pStyle w:val="FootnoteText"/>
        <w:spacing w:before="0" w:after="240"/>
        <w:ind w:hanging="720" w:start="720" w:end="0"/>
        <w:rPr/>
      </w:pPr>
      <w:r>
        <w:rPr>
          <w:rStyle w:val="FootnoteCharacters"/>
        </w:rPr>
        <w:footnoteRef/>
      </w:r>
      <w:r>
        <w:rPr/>
        <w:t xml:space="preserve"> </w:t>
      </w:r>
      <w:r>
        <w:rPr/>
        <w:tab/>
        <w:t>A “Load Serving Member” is defined as “any SPP Member assuming legal obligation to provide firm electric service to a customer or group of customers within SPP.”  Criteria 2.1.1 at 2-1.</w:t>
      </w:r>
    </w:p>
  </w:footnote>
  <w:footnote w:id="37">
    <w:p>
      <w:pPr>
        <w:pStyle w:val="FootnoteText"/>
        <w:spacing w:before="0" w:after="240"/>
        <w:ind w:hanging="720" w:start="720" w:end="0"/>
        <w:rPr/>
      </w:pPr>
      <w:r>
        <w:rPr>
          <w:rStyle w:val="FootnoteCharacters"/>
        </w:rPr>
        <w:footnoteRef/>
      </w:r>
      <w:r>
        <w:rPr/>
        <w:t xml:space="preserve"> </w:t>
      </w:r>
      <w:r>
        <w:rPr/>
        <w:tab/>
        <w:t xml:space="preserve">“Net Load” is defined for any Load Serving Member (“LSM”) for any clock hour (a) net generation by the LSM’s facilities, plus (b) net receipts into the LSM’s system, minus (c) net deliveries out of the LSM’s system. </w:t>
      </w:r>
    </w:p>
  </w:footnote>
  <w:footnote w:id="38">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FRCC Compliance Monitoring Program, (revised June 22, 1999) at 3-4.</w:t>
      </w:r>
    </w:p>
  </w:footnote>
  <w:footnote w:id="39">
    <w:p>
      <w:pPr>
        <w:pStyle w:val="FootnoteText"/>
        <w:spacing w:before="0" w:after="240"/>
        <w:ind w:hanging="720" w:start="720" w:end="0"/>
        <w:rPr/>
      </w:pPr>
      <w:r>
        <w:rPr>
          <w:rStyle w:val="FootnoteCharacters"/>
        </w:rPr>
        <w:footnoteRef/>
      </w:r>
      <w:r>
        <w:rPr/>
        <w:t xml:space="preserve"> </w:t>
      </w:r>
      <w:r>
        <w:rPr/>
        <w:tab/>
        <w:t>FRCC Planning Principles and Guides, adopted September 25, 1996, at 1 (“Planning Principles”).</w:t>
      </w:r>
    </w:p>
  </w:footnote>
  <w:footnote w:id="40">
    <w:p>
      <w:pPr>
        <w:pStyle w:val="FootnoteText"/>
        <w:spacing w:before="0" w:after="240"/>
        <w:ind w:hanging="720" w:start="720" w:end="0"/>
        <w:rPr/>
      </w:pPr>
      <w:r>
        <w:rPr>
          <w:rStyle w:val="FootnoteCharacters"/>
        </w:rPr>
        <w:footnoteRef/>
      </w:r>
      <w:r>
        <w:rPr/>
        <w:t xml:space="preserve"> </w:t>
      </w:r>
      <w:r>
        <w:rPr/>
        <w:tab/>
        <w:t>“Adequate” is defined as the “ability of a bulk electric system to supply the aggregate electrical demand (power) and energy requirements of the consumers at all times, taking into account scheduled and (reasonably expected) unscheduled outages of system components.”  Planning Principles, “Definitions” at 10.</w:t>
      </w:r>
    </w:p>
  </w:footnote>
  <w:footnote w:id="41">
    <w:p>
      <w:pPr>
        <w:pStyle w:val="FootnoteText"/>
        <w:spacing w:before="0" w:after="240"/>
        <w:ind w:hanging="720" w:start="720" w:end="0"/>
        <w:rPr/>
      </w:pPr>
      <w:r>
        <w:rPr>
          <w:rStyle w:val="FootnoteCharacters"/>
        </w:rPr>
        <w:footnoteRef/>
      </w:r>
      <w:r>
        <w:rPr/>
        <w:t xml:space="preserve"> </w:t>
      </w:r>
      <w:r>
        <w:rPr/>
        <w:tab/>
        <w:t>NERC RA at 47.</w:t>
      </w:r>
    </w:p>
  </w:footnote>
  <w:footnote w:id="42">
    <w:p>
      <w:pPr>
        <w:pStyle w:val="FootnoteText"/>
        <w:spacing w:before="0" w:after="240"/>
        <w:ind w:hanging="720" w:start="720" w:end="0"/>
        <w:rPr/>
      </w:pPr>
      <w:r>
        <w:rPr>
          <w:rStyle w:val="FootnoteCharacters"/>
        </w:rPr>
        <w:footnoteRef/>
      </w:r>
      <w:r>
        <w:rPr/>
        <w:t xml:space="preserve"> </w:t>
      </w:r>
      <w:r>
        <w:rPr/>
        <w:tab/>
        <w:t>SERC-Operating Committee Handbook (Revised 2/28/97) at 20.</w:t>
      </w:r>
    </w:p>
  </w:footnote>
  <w:footnote w:id="43">
    <w:p>
      <w:pPr>
        <w:pStyle w:val="FootnoteText"/>
        <w:spacing w:before="0" w:after="240"/>
        <w:ind w:hanging="720" w:start="720" w:end="0"/>
        <w:rPr/>
      </w:pPr>
      <w:r>
        <w:rPr>
          <w:rStyle w:val="FootnoteCharacters"/>
        </w:rPr>
        <w:footnoteRef/>
      </w:r>
      <w:r>
        <w:rPr/>
        <w:t xml:space="preserve"> </w:t>
      </w:r>
      <w:r>
        <w:rPr/>
        <w:tab/>
        <w:t>SERC Operating Procedure 2, SERC Guide Compliance Checklist, Guide II.</w:t>
      </w:r>
    </w:p>
  </w:footnote>
  <w:footnote w:id="44">
    <w:p>
      <w:pPr>
        <w:pStyle w:val="FootnoteText"/>
        <w:spacing w:before="0" w:after="240"/>
        <w:ind w:hanging="720" w:start="720" w:end="0"/>
        <w:rPr/>
      </w:pPr>
      <w:r>
        <w:rPr>
          <w:rStyle w:val="FootnoteCharacters"/>
        </w:rPr>
        <w:footnoteRef/>
      </w:r>
      <w:r>
        <w:rPr/>
        <w:t xml:space="preserve"> </w:t>
      </w:r>
      <w:r>
        <w:rPr/>
        <w:tab/>
      </w:r>
      <w:r>
        <w:rPr>
          <w:u w:val="single"/>
        </w:rPr>
        <w:t>See</w:t>
      </w:r>
      <w:r>
        <w:rPr/>
        <w:t xml:space="preserve"> SERC “Principles and Guides for Reliability in System Planning” April 26, 1995.</w:t>
      </w:r>
    </w:p>
  </w:footnote>
  <w:footnote w:id="45">
    <w:p>
      <w:pPr>
        <w:pStyle w:val="FootnoteText"/>
        <w:spacing w:before="0" w:after="240"/>
        <w:ind w:hanging="720" w:start="720" w:end="0"/>
        <w:rPr/>
      </w:pPr>
      <w:r>
        <w:rPr>
          <w:rStyle w:val="FootnoteCharacters"/>
        </w:rPr>
        <w:footnoteRef/>
      </w:r>
      <w:r>
        <w:rPr/>
        <w:t xml:space="preserve"> </w:t>
      </w:r>
      <w:r>
        <w:rPr/>
        <w:tab/>
        <w:t>NERC RA at 59.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numPr>
        <w:ilvl w:val="0"/>
        <w:numId w:val="1"/>
      </w:numPr>
      <w:jc w:val="center"/>
      <w:outlineLvl w:val="0"/>
    </w:pPr>
    <w:rPr>
      <w:b/>
      <w:bCs/>
      <w:caps/>
    </w:rPr>
  </w:style>
  <w:style w:type="paragraph" w:styleId="Heading2">
    <w:name w:val="heading 2"/>
    <w:basedOn w:val="Normal"/>
    <w:next w:val="Normal"/>
    <w:qFormat/>
    <w:pPr>
      <w:numPr>
        <w:ilvl w:val="1"/>
        <w:numId w:val="1"/>
      </w:numPr>
      <w:spacing w:before="0" w:after="240"/>
      <w:ind w:hanging="720" w:start="720" w:end="0"/>
      <w:outlineLvl w:val="1"/>
    </w:pPr>
    <w:rPr>
      <w:b/>
      <w:bCs/>
    </w:rPr>
  </w:style>
  <w:style w:type="paragraph" w:styleId="Heading3">
    <w:name w:val="heading 3"/>
    <w:basedOn w:val="Normal"/>
    <w:next w:val="Normal"/>
    <w:qFormat/>
    <w:pPr>
      <w:numPr>
        <w:ilvl w:val="2"/>
        <w:numId w:val="1"/>
      </w:numPr>
      <w:spacing w:before="0" w:after="240"/>
      <w:ind w:hanging="720" w:start="1440" w:end="0"/>
      <w:outlineLvl w:val="2"/>
    </w:pPr>
    <w:rPr>
      <w:b/>
      <w:bCs/>
    </w:rPr>
  </w:style>
  <w:style w:type="paragraph" w:styleId="Heading4">
    <w:name w:val="heading 4"/>
    <w:basedOn w:val="Normal"/>
    <w:next w:val="Normal"/>
    <w:qFormat/>
    <w:pPr>
      <w:numPr>
        <w:ilvl w:val="3"/>
        <w:numId w:val="1"/>
      </w:numPr>
      <w:spacing w:before="0" w:after="240"/>
      <w:ind w:hanging="720" w:start="2160" w:end="0"/>
      <w:outlineLvl w:val="3"/>
    </w:pPr>
    <w:rPr>
      <w:b/>
      <w:bCs/>
    </w:rPr>
  </w:style>
  <w:style w:type="paragraph" w:styleId="Heading5">
    <w:name w:val="heading 5"/>
    <w:basedOn w:val="Normal"/>
    <w:next w:val="Normal"/>
    <w:qFormat/>
    <w:pPr>
      <w:numPr>
        <w:ilvl w:val="4"/>
        <w:numId w:val="1"/>
      </w:numPr>
      <w:spacing w:before="0" w:after="240"/>
      <w:ind w:hanging="720" w:start="2880" w:end="0"/>
      <w:outlineLvl w:val="4"/>
    </w:pPr>
    <w:rPr>
      <w:b/>
      <w:bCs/>
    </w:rPr>
  </w:style>
  <w:style w:type="paragraph" w:styleId="Heading6">
    <w:name w:val="heading 6"/>
    <w:basedOn w:val="Normal"/>
    <w:next w:val="Normal"/>
    <w:qFormat/>
    <w:pPr>
      <w:numPr>
        <w:ilvl w:val="5"/>
        <w:numId w:val="1"/>
      </w:numPr>
      <w:spacing w:before="0" w:after="240"/>
      <w:ind w:hanging="720" w:start="3600" w:end="0"/>
      <w:outlineLvl w:val="5"/>
    </w:pPr>
    <w:rPr>
      <w:b/>
      <w:bCs/>
    </w:rPr>
  </w:style>
  <w:style w:type="paragraph" w:styleId="Heading7">
    <w:name w:val="heading 7"/>
    <w:basedOn w:val="Normal"/>
    <w:next w:val="Normal"/>
    <w:qFormat/>
    <w:pPr>
      <w:numPr>
        <w:ilvl w:val="6"/>
        <w:numId w:val="1"/>
      </w:numPr>
      <w:spacing w:before="0" w:after="240"/>
      <w:ind w:hanging="720" w:start="4320" w:end="0"/>
      <w:outlineLvl w:val="6"/>
    </w:pPr>
    <w:rPr>
      <w:b/>
      <w:bCs/>
    </w:rPr>
  </w:style>
  <w:style w:type="paragraph" w:styleId="Heading8">
    <w:name w:val="heading 8"/>
    <w:basedOn w:val="Normal"/>
    <w:next w:val="Normal"/>
    <w:qFormat/>
    <w:pPr>
      <w:numPr>
        <w:ilvl w:val="7"/>
        <w:numId w:val="1"/>
      </w:numPr>
      <w:spacing w:before="0" w:after="240"/>
      <w:ind w:hanging="720" w:start="5040" w:end="0"/>
      <w:outlineLvl w:val="7"/>
    </w:pPr>
    <w:rPr>
      <w:b/>
      <w:bCs/>
    </w:rPr>
  </w:style>
  <w:style w:type="paragraph" w:styleId="Heading9">
    <w:name w:val="heading 9"/>
    <w:basedOn w:val="Normal"/>
    <w:next w:val="Normal"/>
    <w:qFormat/>
    <w:pPr>
      <w:numPr>
        <w:ilvl w:val="8"/>
        <w:numId w:val="1"/>
      </w:numPr>
      <w:spacing w:before="0" w:after="240"/>
      <w:ind w:hanging="720" w:start="5760" w:end="0"/>
      <w:outlineLvl w:val="8"/>
    </w:pPr>
    <w:rPr>
      <w:b/>
      <w:bCs/>
    </w:rPr>
  </w:style>
  <w:style w:type="character" w:styleId="DefaultParagraphFont">
    <w:name w:val="Default Paragraph Font"/>
    <w:qFormat/>
    <w:rPr/>
  </w:style>
  <w:style w:type="character" w:styleId="LineNumber">
    <w:name w:val="line number"/>
    <w:basedOn w:val="DefaultParagraphFont"/>
    <w:rPr>
      <w:sz w:val="24"/>
      <w:szCs w:val="24"/>
    </w:rPr>
  </w:style>
  <w:style w:type="character" w:styleId="PageNumber">
    <w:name w:val="page number"/>
    <w:basedOn w:val="DefaultParagraphFont"/>
    <w:rPr/>
  </w:style>
  <w:style w:type="character" w:styleId="FootnoteCharacters">
    <w:name w:val="Footnote Characters"/>
    <w:basedOn w:val="DefaultParagraphFont"/>
    <w:qFormat/>
    <w:rPr>
      <w:sz w:val="24"/>
      <w:szCs w:val="24"/>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2000-01-26T14:09:00Z</dcterms:created>
  <dc:creator>Jennifer Depukat</dc:creator>
  <dc:description/>
  <dc:language>en-CA</dc:language>
  <cp:lastModifiedBy>Reception Desk</cp:lastModifiedBy>
  <cp:lastPrinted>2000-01-24T16:56:00Z</cp:lastPrinted>
  <dcterms:modified xsi:type="dcterms:W3CDTF">2000-01-26T14:09:00Z</dcterms:modified>
  <cp:revision>2</cp:revision>
  <dc:subject/>
  <dc:title>MEMORANDUM</dc:title>
</cp:coreProperties>
</file>