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bCs/>
        </w:rPr>
      </w:pPr>
      <w:r>
        <w:rPr>
          <w:b/>
          <w:bCs/>
        </w:rPr>
      </w:r>
    </w:p>
    <w:p>
      <w:pPr>
        <w:pStyle w:val="Normal"/>
        <w:jc w:val="center"/>
        <w:rPr>
          <w:b/>
          <w:bCs/>
        </w:rPr>
      </w:pPr>
      <w:r>
        <w:rPr>
          <w:b/>
          <w:bCs/>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t>MEMORANDUM</w:t>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rPr/>
      </w:pPr>
      <w:r>
        <w:rPr/>
        <w:t>TO:</w:t>
        <w:tab/>
        <w:tab/>
        <w:t>Mike Small</w:t>
      </w:r>
    </w:p>
    <w:p>
      <w:pPr>
        <w:pStyle w:val="Normal"/>
        <w:rPr/>
      </w:pPr>
      <w:r>
        <w:rPr/>
      </w:r>
    </w:p>
    <w:p>
      <w:pPr>
        <w:pStyle w:val="Normal"/>
        <w:rPr/>
      </w:pPr>
      <w:r>
        <w:rPr/>
        <w:t>FROM:</w:t>
        <w:tab/>
        <w:t>Doug Waikart</w:t>
      </w:r>
    </w:p>
    <w:p>
      <w:pPr>
        <w:pStyle w:val="Normal"/>
        <w:rPr/>
      </w:pPr>
      <w:r>
        <w:rPr/>
      </w:r>
    </w:p>
    <w:p>
      <w:pPr>
        <w:pStyle w:val="Normal"/>
        <w:rPr/>
      </w:pPr>
      <w:r>
        <w:rPr/>
        <w:t>DATE:</w:t>
        <w:tab/>
        <w:tab/>
        <w:t>January 24, 2000</w:t>
      </w:r>
    </w:p>
    <w:p>
      <w:pPr>
        <w:pStyle w:val="Normal"/>
        <w:rPr/>
      </w:pPr>
      <w:r>
        <w:rPr/>
      </w:r>
    </w:p>
    <w:p>
      <w:pPr>
        <w:pStyle w:val="Normal"/>
        <w:rPr/>
      </w:pPr>
      <w:r>
        <w:rPr/>
        <w:t>RE:</w:t>
        <w:tab/>
        <w:tab/>
        <w:t>Comparison of WSPP and EEI Agreements</w:t>
      </w:r>
    </w:p>
    <w:p>
      <w:pPr>
        <w:pStyle w:val="Normal"/>
        <w:rPr/>
      </w:pPr>
      <w:r>
        <w:rPr/>
        <w:t>______________________________________________________________________________</w:t>
      </w:r>
    </w:p>
    <w:p>
      <w:pPr>
        <w:pStyle w:val="Normal"/>
        <w:rPr/>
      </w:pPr>
      <w:r>
        <w:rPr/>
      </w:r>
    </w:p>
    <w:p>
      <w:pPr>
        <w:pStyle w:val="Normal"/>
        <w:spacing w:lineRule="auto" w:line="480"/>
        <w:rPr/>
      </w:pPr>
      <w:r>
        <w:rPr/>
        <w:tab/>
        <w:t xml:space="preserve">This memorandum examines differences between the Western Systems Power Pool Agreement (“WSPP Agreement”), as filed to be effective February 1, 2000, and the Edison Electric Institute’s Master Power Purchase and Sale Agreement Version 1.1 dated November 17, 1999 (“EEI Agreement”).  This memorandum focuses on the differences in the basic agreements but not the differences in the product definitions.  At the time of this memorandum, the EEI produced definitions were still the subject of discussion.  </w:t>
      </w:r>
    </w:p>
    <w:p>
      <w:pPr>
        <w:pStyle w:val="Normal"/>
        <w:rPr/>
      </w:pPr>
      <w:r>
        <w:rPr>
          <w:b/>
          <w:bCs/>
          <w:u w:val="single"/>
        </w:rPr>
        <w:t>Uncontrollable Force/Force Majeure</w:t>
      </w:r>
      <w:r>
        <w:rPr>
          <w:b/>
          <w:bCs/>
        </w:rPr>
        <w:t xml:space="preserve"> (WSPP Agreement § 10–EEI Agreement Arts. 3.3/1.22/Sch. P)</w:t>
      </w:r>
    </w:p>
    <w:p>
      <w:pPr>
        <w:pStyle w:val="Normal"/>
        <w:rPr/>
      </w:pPr>
      <w:r>
        <w:rPr/>
      </w:r>
    </w:p>
    <w:p>
      <w:pPr>
        <w:pStyle w:val="Normal"/>
        <w:spacing w:lineRule="auto" w:line="480"/>
        <w:rPr/>
      </w:pPr>
      <w:r>
        <w:rPr/>
        <w:tab/>
        <w:t>The WSPP Agreement states (§ 10 at 16) that “no party shall be considered in breach” of the Agreement to the extent a failure to perform its obligations is due to an “Uncontrollable Force.”  The EEI Agreement (Art. 3.3) provides that “unless the terms of the Product specify otherwise” either party “shall be excused from the performance of its obligations” with respect to an identified “Transaction” to the extent the party is “prevented by Force Majeure from carrying out, in whole or part, its obligations.”</w:t>
      </w:r>
    </w:p>
    <w:p>
      <w:pPr>
        <w:pStyle w:val="Normal"/>
        <w:spacing w:lineRule="auto" w:line="480"/>
        <w:ind w:firstLine="720" w:end="0"/>
        <w:rPr/>
      </w:pPr>
      <w:r>
        <w:rPr/>
        <w:t>Under both Agreements a party’s failure to perform thus is excused if such failure is due to an “Uncontrollable Force” (WSPP Agreement § 10) or event of “Force Majeure” (EEI Agreement Arts. 3.3/1.22). Both agreements also require notice to the other party</w:t>
      </w:r>
      <w:r>
        <w:rPr>
          <w:rStyle w:val="FootnoteCharacters"/>
          <w:rStyle w:val="FootnoteReference"/>
        </w:rPr>
        <w:footnoteReference w:id="2"/>
      </w:r>
      <w:r>
        <w:rPr/>
        <w:t xml:space="preserve"> and “due diligence to remove such inability” (WSPP Agreement § 10 at 17) or “remedy” of the event “with all reasonable dispatch” (EEI Agreement Art. 3.3). Finally, both agreements require the party claiming to be excused by force majeure/uncontrollable force (“claiming party”) to “make payments . . . with respect to performance” which occurred prior to the claimed event.  WSPP Agreement § 10 at 18; EEI Agreement Art. 3.3.  The EEI Agreement (Art. 3.3) also provides that the party not claiming force majeure is “not required to perform or resume performance of its obligation . . . corresponding to the obligations” of the party “excused by Force Majeure.”</w:t>
      </w:r>
    </w:p>
    <w:p>
      <w:pPr>
        <w:pStyle w:val="Normal"/>
        <w:spacing w:lineRule="auto" w:line="480"/>
        <w:rPr/>
      </w:pPr>
      <w:r>
        <w:rPr/>
        <w:tab/>
        <w:t>Both agreements define an excusing event as “any cause beyond the control of” (WSPP Agreement § 10 at 16) or “not within the reasonable control of” (EEI Agreement Art. 1.22) the claiming party.</w:t>
      </w:r>
      <w:r>
        <w:rPr>
          <w:rStyle w:val="FootnoteCharacters"/>
          <w:rStyle w:val="FootnoteReference"/>
        </w:rPr>
        <w:footnoteReference w:id="3"/>
      </w:r>
      <w:r>
        <w:rPr/>
        <w:t xml:space="preserve">  Both agreements </w:t>
      </w:r>
      <w:r>
        <w:rPr>
          <w:u w:val="single"/>
        </w:rPr>
        <w:t>exclude</w:t>
      </w:r>
      <w:r>
        <w:rPr/>
        <w:t xml:space="preserve"> events arising out of the claiming party’s negligence and </w:t>
      </w:r>
      <w:r>
        <w:rPr>
          <w:u w:val="single"/>
        </w:rPr>
        <w:t>include</w:t>
      </w:r>
      <w:r>
        <w:rPr/>
        <w:t xml:space="preserve"> only those events which “by the exercise of due diligence” the claiming party could not overcome or avoid.  </w:t>
      </w:r>
      <w:r>
        <w:rPr>
          <w:u w:val="single"/>
        </w:rPr>
        <w:t>Id.</w:t>
      </w:r>
      <w:r>
        <w:rPr/>
        <w:t xml:space="preserve">  The WSPP Agreement includes a non-exclusive list of qualifying causes ranging from natural events such as flood, earthquakes and fire to other events such as civil disturbance and labor or material shortage.  The EEI Agreement specifically provides that force majeure shall </w:t>
      </w:r>
      <w:r>
        <w:rPr>
          <w:u w:val="single"/>
        </w:rPr>
        <w:t>not</w:t>
      </w:r>
      <w:r>
        <w:rPr/>
        <w:t xml:space="preserve"> be based on either (1) the buyer’s loss of markets or inability economically to use or resell the product purchased or (2) the seller’s loss or failure of supply or ability to sell the product at a price greater than the contract price.  Art. 1.22.</w:t>
      </w:r>
    </w:p>
    <w:p>
      <w:pPr>
        <w:pStyle w:val="Normal"/>
        <w:spacing w:lineRule="auto" w:line="480"/>
        <w:rPr/>
      </w:pPr>
      <w:r>
        <w:rPr/>
        <w:tab/>
        <w:t xml:space="preserve">The agreements differ somewhat in their treatment of interruptions in transmission service as an event of force majeure.  Under the EEI Agreement the curtailment of firm transmission may qualify as a force majeure event only where it is due to “force majeure,” “uncontrollable force” or a “similar term as defined under the Transmission Provider’s tariff.”  Art. 1.22.  Even then, however, the occurrence of such an event will not conclusively “prove the existence of a Force Majeure” for purposes of a party to the EEI Agreement without a showing of “facts and circumstances” which, in the aggregate, establish a force majeure event as otherwise defined in Art. 1.22.  </w:t>
      </w:r>
      <w:r>
        <w:rPr>
          <w:u w:val="single"/>
        </w:rPr>
        <w:t>Id.</w:t>
      </w:r>
    </w:p>
    <w:p>
      <w:pPr>
        <w:pStyle w:val="Normal"/>
        <w:spacing w:lineRule="auto" w:line="480"/>
        <w:rPr/>
      </w:pPr>
      <w:r>
        <w:rPr/>
        <w:tab/>
        <w:t xml:space="preserve">By contrast, the WSPP Agreement provides that an interruption in transmission service shall be an Uncontrollable Force for purposes of that Agreement if (1) the parties agreed on a “transmission path” at the time the transaction was agreed to, (2) firm transmission involving that path was obtained and, (3) the transmission provider “curtailed or interrupted such firm transmission” pursuant to its tariff or contract.  WSPP Agreement § 10 at 17.  Only if the parties did not agree on the transmission path for firm transmission at the time the transaction was entered into does the WSPP Agreement require that the transmission provider’s curtailment or interruption be “due to an event of Uncontrollable Forces or provision of like effect” in order to be considered an Uncontrollable Force under § 10.  </w:t>
      </w:r>
      <w:r>
        <w:rPr>
          <w:u w:val="single"/>
        </w:rPr>
        <w:t>Id.</w:t>
      </w:r>
      <w:r>
        <w:rPr/>
        <w:t xml:space="preserve"> at 17-18.  In addition, the party that contracted for firm transmission services must have been unable to obtain “alternate energy at the delivery point, alternate transmission services, or alternate means of delivering energy after exercising due diligence.”  </w:t>
      </w:r>
      <w:r>
        <w:rPr>
          <w:u w:val="single"/>
        </w:rPr>
        <w:t>Id.</w:t>
      </w:r>
      <w:r>
        <w:rPr/>
        <w:t xml:space="preserve"> at 18.</w:t>
      </w:r>
    </w:p>
    <w:p>
      <w:pPr>
        <w:pStyle w:val="Normal"/>
        <w:spacing w:lineRule="auto" w:line="480"/>
        <w:rPr/>
      </w:pPr>
      <w:r>
        <w:rPr/>
        <w:tab/>
        <w:t>Relevant to the “unless the terms of the Product specify otherwise” limitation on force majeure in Art. 3.3 of the EEI Agreement, “Schedule P:  Products and Related Definitions” of that Agreement contains several provisions related to the availability of force majeure.  First, Schedule P defines “Firm (No Force Majeure)” as a Transaction in which either the seller’s or buyer’s failure to perform its obligation entitles the party owed performance to receive an amount calculated pursuant to Art. 4 “Remedies for Failure to Deliver/Receive.”  Schedule P, EEI Agreement at 31.  Schedule P provides further that even the occurrence of an event meeting the definition of Force Majeure in Art 1.22 will not excuse performance of a “Firm (No Force Majeure) Transaction.”</w:t>
      </w:r>
      <w:r>
        <w:rPr>
          <w:rStyle w:val="FootnoteCharacters"/>
          <w:rStyle w:val="FootnoteReference"/>
        </w:rPr>
        <w:footnoteReference w:id="4"/>
      </w:r>
    </w:p>
    <w:p>
      <w:pPr>
        <w:pStyle w:val="Normal"/>
        <w:spacing w:lineRule="auto" w:line="480"/>
        <w:rPr/>
      </w:pPr>
      <w:r>
        <w:rPr/>
        <w:tab/>
        <w:t>Second, under Schedule P of the EEI Agreement the application of force majeure to an “Into” Product is subject to an explicit limitation.</w:t>
      </w:r>
      <w:r>
        <w:rPr>
          <w:rStyle w:val="FootnoteCharacters"/>
          <w:rStyle w:val="FootnoteReference"/>
        </w:rPr>
        <w:footnoteReference w:id="5"/>
      </w:r>
      <w:r>
        <w:rPr/>
        <w:t xml:space="preserve">  Schedule P, § 4, EEI Agreement at 33. Specifically, force majeure does not occur if the Buyer of an “Into” Product is unable to secure transmission to transmit the Product to a delivery point outside of the transmission system of the RTP.  </w:t>
      </w:r>
      <w:r>
        <w:rPr>
          <w:u w:val="single"/>
        </w:rPr>
        <w:t>Id.</w:t>
      </w:r>
      <w:r>
        <w:rPr/>
        <w:t xml:space="preserve"> at 33.  </w:t>
      </w:r>
    </w:p>
    <w:p>
      <w:pPr>
        <w:pStyle w:val="Normal"/>
        <w:spacing w:lineRule="auto" w:line="480"/>
        <w:rPr/>
      </w:pPr>
      <w:r>
        <w:rPr>
          <w:b/>
          <w:bCs/>
          <w:u w:val="single"/>
        </w:rPr>
        <w:t>Payments/Netting</w:t>
      </w:r>
      <w:r>
        <w:rPr>
          <w:b/>
          <w:bCs/>
        </w:rPr>
        <w:t xml:space="preserve"> (WSPP Agreement § 9 and § 28/Exh. A–EEI Agreement Art. 6)</w:t>
      </w:r>
    </w:p>
    <w:p>
      <w:pPr>
        <w:pStyle w:val="Normal"/>
        <w:spacing w:lineRule="auto" w:line="480"/>
        <w:rPr/>
      </w:pPr>
      <w:r>
        <w:rPr/>
        <w:tab/>
        <w:t xml:space="preserve">Both agreements provide for payments on a monthly basis, unless otherwise agreed.  In the event of a billing dispute, however, the WSPP Agreement (§ 9.4) requires payment of the entire bill when due while under the EEI Agreement (Art 6.3) only the undisputed portion of the invoice must be paid when due.  Payment of the disputed amount is not due under the EEI Agreement until the dispute is resolved.  </w:t>
      </w:r>
    </w:p>
    <w:p>
      <w:pPr>
        <w:pStyle w:val="Normal"/>
        <w:spacing w:lineRule="auto" w:line="480"/>
        <w:rPr/>
      </w:pPr>
      <w:r>
        <w:rPr/>
        <w:tab/>
        <w:t xml:space="preserve">Another difference is that billing disputes must be raised within one year under the EEI Agreement, while the WSPP Agreement allows two years.  </w:t>
      </w:r>
      <w:r>
        <w:rPr>
          <w:u w:val="single"/>
        </w:rPr>
        <w:t>Id.</w:t>
      </w:r>
      <w:r>
        <w:rPr/>
        <w:t xml:space="preserve">  Similarly, a failure to bill may be remedied within 2 years under the WSPP Agreement (§ 9.5), while only one year is allowed under the EEI Agreement (Art. 6.3).  </w:t>
      </w:r>
    </w:p>
    <w:p>
      <w:pPr>
        <w:pStyle w:val="Normal"/>
        <w:spacing w:lineRule="auto" w:line="480"/>
        <w:rPr/>
      </w:pPr>
      <w:r>
        <w:rPr/>
        <w:tab/>
        <w:t>The provisions governing the monthly netting of payments (EEI Agreement Art. 6.4 and WSPP Agreement § 28 and Exh. A) are similar.  The EEI Agreement (Art. 6.8) also contains a separate provision titled “Transaction Netting.”</w:t>
      </w:r>
      <w:r>
        <w:rPr>
          <w:rStyle w:val="FootnoteCharacters"/>
          <w:rStyle w:val="FootnoteReference"/>
        </w:rPr>
        <w:footnoteReference w:id="6"/>
      </w:r>
      <w:r>
        <w:rPr/>
        <w:t xml:space="preserve">  This provision allows parties to “Offsetting Transactions” to agree to net all such transactions into a single “Transaction” that “shall be deemed part of the single, indivisible contractual arrangement between the parties.”  Netting applies to both “Energy” and “payment.”  The party owing the greater amount of Energy must deliver the difference between the total amount it owes and the total amount owed it under the Offsetting Transactions.  Art. 6.8(a).  The party owing the greater payment must pay the “net difference” owed between the parties.  </w:t>
      </w:r>
      <w:r>
        <w:rPr>
          <w:u w:val="single"/>
        </w:rPr>
        <w:t>Id.</w:t>
      </w:r>
    </w:p>
    <w:p>
      <w:pPr>
        <w:pStyle w:val="Normal"/>
        <w:spacing w:lineRule="auto" w:line="480"/>
        <w:rPr/>
      </w:pPr>
      <w:r>
        <w:rPr>
          <w:b/>
          <w:bCs/>
          <w:u w:val="single"/>
        </w:rPr>
        <w:t>Governing Law</w:t>
      </w:r>
      <w:r>
        <w:rPr>
          <w:b/>
          <w:bCs/>
        </w:rPr>
        <w:t xml:space="preserve"> (WSPP Agreement § 24 - EEI Agreement Art. 10.6)</w:t>
      </w:r>
    </w:p>
    <w:p>
      <w:pPr>
        <w:pStyle w:val="Normal"/>
        <w:spacing w:lineRule="auto" w:line="480"/>
        <w:rPr/>
      </w:pPr>
      <w:r>
        <w:rPr/>
        <w:tab/>
        <w:t xml:space="preserve">The WSPP Agreement is governed by and construed in accordance with the laws of Utah while the EEI Agreement is governed and construed under New York law.  Other differences are that the WSPP Agreement provides that where both seller and buyer are organized under the laws of Canada the laws of the province of the seller shall govern.  It also provides that if the seller is an agency of part of the U.S. government, then the laws of United States govern.  Finally, the EEI Agreement provides that each party waives its right to a jury trial while the WSPP Agreement includes no such provision.  </w:t>
      </w:r>
    </w:p>
    <w:p>
      <w:pPr>
        <w:pStyle w:val="Normal"/>
        <w:spacing w:lineRule="auto" w:line="480"/>
        <w:rPr/>
      </w:pPr>
      <w:r>
        <w:rPr>
          <w:b/>
          <w:bCs/>
          <w:u w:val="single"/>
        </w:rPr>
        <w:t>Default and Remedies</w:t>
      </w:r>
      <w:r>
        <w:rPr>
          <w:b/>
          <w:bCs/>
        </w:rPr>
        <w:t xml:space="preserve"> (WSPP Agreement § 22 - EEI Agreement Art. 5)</w:t>
      </w:r>
    </w:p>
    <w:p>
      <w:pPr>
        <w:pStyle w:val="Normal"/>
        <w:spacing w:lineRule="auto" w:line="480"/>
        <w:rPr/>
      </w:pPr>
      <w:r>
        <w:rPr/>
        <w:tab/>
        <w:t>Both agreements define an “Event of Default” to include the failure to make, when due, any required payment.</w:t>
      </w:r>
      <w:r>
        <w:rPr>
          <w:rStyle w:val="FootnoteCharacters"/>
          <w:rStyle w:val="FootnoteReference"/>
        </w:rPr>
        <w:footnoteReference w:id="7"/>
      </w:r>
      <w:r>
        <w:rPr/>
        <w:t xml:space="preserve">  Upon the occurrence of such an event both agreements give the non-defaulting party the right to terminate all transactions between the parties and to calculate a liquidated “Termination Payment” payable by one party to the other (WSPP Agreement § 22.2; EEI Agreement Arts. 5.2 and 5.3).</w:t>
      </w:r>
      <w:r>
        <w:rPr>
          <w:rStyle w:val="FootnoteCharacters"/>
          <w:rStyle w:val="FootnoteReference"/>
        </w:rPr>
        <w:footnoteReference w:id="8"/>
      </w:r>
      <w:r>
        <w:rPr/>
        <w:t xml:space="preserve"> </w:t>
      </w:r>
    </w:p>
    <w:p>
      <w:pPr>
        <w:pStyle w:val="Normal"/>
        <w:spacing w:lineRule="auto" w:line="480"/>
        <w:rPr/>
      </w:pPr>
      <w:r>
        <w:rPr/>
        <w:tab/>
        <w:t>The agreements differ on how the Termination Payment is calculated.  The EEI Agreement (Art. 5.2) simply states that the non-defaulting party is to calculate “in a commercially reasonable manner, a Settlement Amount” for each terminated transaction and that all such amounts are to be aggregated through a netting process into a single liquidated Transaction Payment.</w:t>
      </w:r>
      <w:r>
        <w:rPr>
          <w:rStyle w:val="FootnoteCharacters"/>
          <w:rStyle w:val="FootnoteReference"/>
        </w:rPr>
        <w:footnoteReference w:id="9"/>
      </w:r>
      <w:r>
        <w:rPr/>
        <w:t xml:space="preserve">  By contrast, the WSPP Agreement (§ 22.3) sets forth detailed “Liquidation Calculation Options” procedures for the non-defaulting party to follow to calculate the Termination Payment.</w:t>
      </w:r>
      <w:r>
        <w:rPr>
          <w:rStyle w:val="FootnoteCharacters"/>
          <w:rStyle w:val="FootnoteReference"/>
        </w:rPr>
        <w:footnoteReference w:id="10"/>
      </w:r>
      <w:r>
        <w:rPr/>
        <w:t xml:space="preserve">  </w:t>
      </w:r>
    </w:p>
    <w:p>
      <w:pPr>
        <w:pStyle w:val="Normal"/>
        <w:spacing w:lineRule="auto" w:line="480"/>
        <w:rPr/>
      </w:pPr>
      <w:r>
        <w:rPr/>
        <w:tab/>
        <w:t>The agreements also differ on the course to be followed if the defaulting party disagrees with the Termination Payment calculated by the non-defaulting party.  The WSPP Agreement provides (§ 22.3 at 31) that, absent a resolution, the calculation issue must be submitted to informal dispute resolution (per § 34.1) and, if necessary, binding dispute resolution (per § 34.2).  The EEI Agreement (Art. 5.5) provides that the defaulting party must provide “a detailed written explanation of the basis for such dispute” but specifies no further procedures in the event the “explanation” provided fails to resolve the issue.</w:t>
      </w:r>
      <w:r>
        <w:rPr>
          <w:rStyle w:val="FootnoteCharacters"/>
          <w:rStyle w:val="FootnoteReference"/>
        </w:rPr>
        <w:footnoteReference w:id="11"/>
      </w:r>
    </w:p>
    <w:p>
      <w:pPr>
        <w:pStyle w:val="Normal"/>
        <w:spacing w:lineRule="auto" w:line="480"/>
        <w:rPr/>
      </w:pPr>
      <w:r>
        <w:rPr>
          <w:b/>
          <w:bCs/>
          <w:u w:val="single"/>
        </w:rPr>
        <w:t>Dispute Resolution</w:t>
      </w:r>
      <w:r>
        <w:rPr>
          <w:b/>
          <w:bCs/>
        </w:rPr>
        <w:t xml:space="preserve"> (WSPP Agreement § 34 and Exh. D)</w:t>
      </w:r>
    </w:p>
    <w:p>
      <w:pPr>
        <w:pStyle w:val="Normal"/>
        <w:spacing w:lineRule="auto" w:line="480"/>
        <w:rPr/>
      </w:pPr>
      <w:r>
        <w:rPr/>
        <w:tab/>
        <w:t>The absence of any reference to dispute resolution procedures in the EEI Agreement’s provisions concerning default reflect the fact that, unlike the WSPP Agreement, the EEI Agreement contains no such procedures.  Under the WSPP Agreement the parties may (or in certain cases must) engage in either informal and/or binding dispute resolution before any other form of litigation involving “any dispute between the Parties to a transaction” under the Agreement may proceed.  This includes “Informal Dispute Resolution” or “Mediation” (WSPP Agreement § 34.1/Exh. D, § I) and “Binding Dispute Resolution” or “Arbitration” (WSPP Agreement § 34.2/Exh. D, § II).  Because the EEI Agreement does not require the parties using that agreement to engage in dispute resolution, even successful use of such procedures pursuant to the WSPP Agreement would not guarantee that all of the parties in a multi-party transaction that used both agreements could use dispute resolution procedures to resolve disputes and avoid court litigation concerning that transaction.</w:t>
      </w:r>
    </w:p>
    <w:p>
      <w:pPr>
        <w:pStyle w:val="Normal"/>
        <w:spacing w:lineRule="auto" w:line="480"/>
        <w:rPr>
          <w:b/>
          <w:bCs/>
        </w:rPr>
      </w:pPr>
      <w:r>
        <w:rPr>
          <w:b/>
          <w:bCs/>
        </w:rPr>
      </w:r>
    </w:p>
    <w:p>
      <w:pPr>
        <w:pStyle w:val="Normal"/>
        <w:spacing w:lineRule="auto" w:line="480"/>
        <w:rPr>
          <w:b/>
          <w:bCs/>
        </w:rPr>
      </w:pPr>
      <w:r>
        <w:rPr>
          <w:b/>
          <w:bCs/>
        </w:rPr>
      </w:r>
    </w:p>
    <w:p>
      <w:pPr>
        <w:pStyle w:val="Normal"/>
        <w:spacing w:lineRule="auto" w:line="480"/>
        <w:rPr/>
      </w:pPr>
      <w:r>
        <w:rPr/>
      </w:r>
    </w:p>
    <w:p>
      <w:pPr>
        <w:pStyle w:val="Normal"/>
        <w:spacing w:lineRule="auto" w:line="480"/>
        <w:rPr/>
      </w:pPr>
      <w:r>
        <w:rPr/>
      </w:r>
    </w:p>
    <w:p>
      <w:pPr>
        <w:pStyle w:val="Normal"/>
        <w:spacing w:lineRule="auto" w:line="480"/>
        <w:rPr>
          <w:sz w:val="20"/>
          <w:szCs w:val="20"/>
        </w:rPr>
      </w:pPr>
      <w:r>
        <w:rPr>
          <w:sz w:val="20"/>
          <w:szCs w:val="20"/>
        </w:rPr>
        <w:t>K:\WSPP\1001-106-147.doc</w:t>
      </w:r>
    </w:p>
    <w:p>
      <w:pPr>
        <w:pStyle w:val="Normal"/>
        <w:spacing w:lineRule="auto" w:line="480"/>
        <w:rPr>
          <w:sz w:val="20"/>
          <w:szCs w:val="20"/>
        </w:rPr>
      </w:pPr>
      <w:r>
        <w:rPr>
          <w:sz w:val="20"/>
          <w:szCs w:val="20"/>
        </w:rPr>
      </w:r>
    </w:p>
    <w:sectPr>
      <w:footerReference w:type="default" r:id="rId2"/>
      <w:footerReference w:type="first" r:id="rId3"/>
      <w:footnotePr>
        <w:numFmt w:val="decimal"/>
      </w:footnotePr>
      <w:type w:val="nextPage"/>
      <w:pgSz w:w="12240" w:h="15840"/>
      <w:pgMar w:left="1440" w:right="1440" w:gutter="0" w:header="0" w:top="1440" w:footer="720" w:bottom="129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ind w:hanging="720" w:start="720" w:end="0"/>
        <w:rPr/>
      </w:pPr>
      <w:r>
        <w:rPr>
          <w:rStyle w:val="FootnoteCharacters"/>
        </w:rPr>
        <w:footnoteRef/>
      </w:r>
      <w:r>
        <w:rPr/>
        <w:t xml:space="preserve"> </w:t>
      </w:r>
      <w:r>
        <w:rPr/>
        <w:tab/>
        <w:t>The WSPP Agreement provides that any oral notice must be “promptly followed by written notice.”</w:t>
      </w:r>
    </w:p>
  </w:footnote>
  <w:footnote w:id="3">
    <w:p>
      <w:pPr>
        <w:pStyle w:val="FootnoteText"/>
        <w:spacing w:before="0" w:after="240"/>
        <w:ind w:hanging="720" w:start="720" w:end="0"/>
        <w:rPr/>
      </w:pPr>
      <w:r>
        <w:rPr>
          <w:rStyle w:val="FootnoteCharacters"/>
        </w:rPr>
        <w:footnoteRef/>
      </w:r>
      <w:r>
        <w:rPr/>
        <w:t xml:space="preserve"> </w:t>
      </w:r>
      <w:r>
        <w:rPr/>
        <w:tab/>
        <w:t>The EEI Agreement (Art. 1.22) further provides that the event or circumstance must not have been “anticipated as of the date the Transaction was agreed to . . .”.</w:t>
      </w:r>
    </w:p>
  </w:footnote>
  <w:footnote w:id="4">
    <w:p>
      <w:pPr>
        <w:pStyle w:val="FootnoteText"/>
        <w:spacing w:before="0" w:after="240"/>
        <w:ind w:hanging="720" w:start="720" w:end="0"/>
        <w:rPr/>
      </w:pPr>
      <w:r>
        <w:rPr>
          <w:rStyle w:val="FootnoteCharacters"/>
        </w:rPr>
        <w:footnoteRef/>
      </w:r>
      <w:r>
        <w:rPr/>
        <w:t xml:space="preserve"> </w:t>
      </w:r>
      <w:r>
        <w:rPr/>
        <w:tab/>
        <w:t>Service Schedule C (“Firm System Capacity/Energy Sale or Exchange Service”) includes no similar exclusion of the Uncontrollable Force provisions of § 10 of the WSPP Agreement.  Section C-3.1 simply provides that the obligation for Firm System Capacity/Energy Sale or Exchange Service becomes a “firm commitment” for both parties for the agreed service and terms, but does not limit the applicability of § 10.</w:t>
      </w:r>
    </w:p>
  </w:footnote>
  <w:footnote w:id="5">
    <w:p>
      <w:pPr>
        <w:pStyle w:val="FootnoteText"/>
        <w:spacing w:before="0" w:after="240"/>
        <w:ind w:hanging="720" w:start="720" w:end="0"/>
        <w:rPr/>
      </w:pPr>
      <w:r>
        <w:rPr>
          <w:rStyle w:val="FootnoteCharacters"/>
        </w:rPr>
        <w:footnoteRef/>
      </w:r>
      <w:r>
        <w:rPr/>
        <w:t xml:space="preserve"> </w:t>
      </w:r>
      <w:r>
        <w:rPr/>
        <w:tab/>
        <w:t xml:space="preserve">An “Into” Product is delivered to an interface either at the Receiving Transmission Provider’s (“RTP’s”) transmission system border or from a source of generation inside the RTP’s control area.  </w:t>
      </w:r>
      <w:r>
        <w:rPr>
          <w:u w:val="single"/>
        </w:rPr>
        <w:t>See</w:t>
      </w:r>
      <w:r>
        <w:rPr/>
        <w:t xml:space="preserve"> Schedule P, EEI Agreement at 31.</w:t>
      </w:r>
    </w:p>
  </w:footnote>
  <w:footnote w:id="6">
    <w:p>
      <w:pPr>
        <w:pStyle w:val="FootnoteText"/>
        <w:spacing w:before="0" w:after="240"/>
        <w:ind w:hanging="720" w:start="720" w:end="0"/>
        <w:rPr/>
      </w:pPr>
      <w:r>
        <w:rPr>
          <w:rStyle w:val="FootnoteCharacters"/>
        </w:rPr>
        <w:footnoteRef/>
      </w:r>
      <w:r>
        <w:rPr/>
        <w:t xml:space="preserve"> </w:t>
      </w:r>
      <w:r>
        <w:rPr/>
        <w:tab/>
        <w:t>“Transaction” is defined (Art. 1.54) as “a particular transaction agreed to by the Parties relating to the sale and purchase of a Product” pursuant to the EEI Agreement.</w:t>
      </w:r>
    </w:p>
  </w:footnote>
  <w:footnote w:id="7">
    <w:p>
      <w:pPr>
        <w:pStyle w:val="FootnoteText"/>
        <w:spacing w:before="0" w:after="240"/>
        <w:ind w:hanging="720" w:start="720" w:end="0"/>
        <w:rPr/>
      </w:pPr>
      <w:r>
        <w:rPr>
          <w:rStyle w:val="FootnoteCharacters"/>
        </w:rPr>
        <w:footnoteRef/>
      </w:r>
      <w:r>
        <w:rPr/>
        <w:t xml:space="preserve"> </w:t>
      </w:r>
      <w:r>
        <w:rPr/>
        <w:tab/>
        <w:t>The WSPP Agreement (§ 22.1(a)) provides two business days to remedy such default, while the EEI Agreement (Art. 5.1(a)) provides three business days.  Other default events are listed in the agreements and include failure to provide good title, the making of inaccurate or misleading representations or warranties, and bankruptcy.</w:t>
      </w:r>
    </w:p>
  </w:footnote>
  <w:footnote w:id="8">
    <w:p>
      <w:pPr>
        <w:pStyle w:val="FootnoteText"/>
        <w:spacing w:before="0" w:after="240"/>
        <w:ind w:hanging="720" w:start="720" w:end="0"/>
        <w:rPr/>
      </w:pPr>
      <w:r>
        <w:rPr>
          <w:rStyle w:val="FootnoteCharacters"/>
        </w:rPr>
        <w:footnoteRef/>
      </w:r>
      <w:r>
        <w:rPr/>
        <w:t xml:space="preserve"> </w:t>
      </w:r>
      <w:r>
        <w:rPr/>
        <w:tab/>
        <w:t xml:space="preserve">Both agreements recognize that the Termination Payment may be due either to or from the non-defaulting party.  </w:t>
      </w:r>
      <w:r>
        <w:rPr>
          <w:u w:val="single"/>
        </w:rPr>
        <w:t>See</w:t>
      </w:r>
      <w:r>
        <w:rPr/>
        <w:t xml:space="preserve"> WSPP Agreement § 22.3(c); EEI Agreement Art. 5.4.</w:t>
      </w:r>
    </w:p>
  </w:footnote>
  <w:footnote w:id="9">
    <w:p>
      <w:pPr>
        <w:pStyle w:val="FootnoteText"/>
        <w:spacing w:before="0" w:after="240"/>
        <w:ind w:hanging="720" w:start="720" w:end="0"/>
        <w:rPr/>
      </w:pPr>
      <w:r>
        <w:rPr>
          <w:rStyle w:val="FootnoteCharacters"/>
        </w:rPr>
        <w:footnoteRef/>
      </w:r>
      <w:r>
        <w:rPr/>
        <w:t xml:space="preserve"> </w:t>
      </w:r>
      <w:r>
        <w:rPr/>
        <w:tab/>
        <w:t xml:space="preserve">The phrase “commercially reasonable” is used, but not defined, in the Uniform Commercial Code (“UCC”).  </w:t>
      </w:r>
      <w:r>
        <w:rPr>
          <w:u w:val="single"/>
        </w:rPr>
        <w:t>See, e.g.</w:t>
      </w:r>
      <w:r>
        <w:rPr/>
        <w:t xml:space="preserve">, UCC § 2-706 (seller may recover difference between “commercially reasonable” resale price and contract price); § 2-715 (buyer entitled to “commercially reasonable” charges . . . in connection with effecting cover).  Generally, whether an action is commercially reasonable is a question of fact to be determined by the nature of the goods, the condition of the markets and other pertinent circumstances.  </w:t>
      </w:r>
      <w:r>
        <w:rPr>
          <w:u w:val="single"/>
        </w:rPr>
        <w:t>See</w:t>
      </w:r>
      <w:r>
        <w:rPr/>
        <w:t xml:space="preserve"> </w:t>
      </w:r>
      <w:r>
        <w:rPr>
          <w:u w:val="single"/>
        </w:rPr>
        <w:t>Manchester Pipeline Corp. v. Peoples Natural Gas Co.</w:t>
      </w:r>
      <w:r>
        <w:rPr/>
        <w:t>, 862 F.2d 1439, 1448 (10th Cir. 1988).</w:t>
      </w:r>
    </w:p>
  </w:footnote>
  <w:footnote w:id="10">
    <w:p>
      <w:pPr>
        <w:pStyle w:val="FootnoteText"/>
        <w:spacing w:before="0" w:after="240"/>
        <w:ind w:hanging="720" w:start="720" w:end="0"/>
        <w:rPr/>
      </w:pPr>
      <w:r>
        <w:rPr>
          <w:rStyle w:val="FootnoteCharacters"/>
        </w:rPr>
        <w:footnoteRef/>
      </w:r>
      <w:r>
        <w:rPr/>
        <w:t xml:space="preserve"> </w:t>
      </w:r>
      <w:r>
        <w:rPr/>
        <w:tab/>
        <w:t>The EEI Agreement (Art. 5.4) requires that the non-defaulting party’s notice include a written statement “explaining in reasonable detail the calculation of” the Termination Payment.</w:t>
      </w:r>
    </w:p>
  </w:footnote>
  <w:footnote w:id="11">
    <w:p>
      <w:pPr>
        <w:pStyle w:val="FootnoteText"/>
        <w:spacing w:before="0" w:after="240"/>
        <w:ind w:hanging="720" w:start="720" w:end="0"/>
        <w:rPr/>
      </w:pPr>
      <w:r>
        <w:rPr>
          <w:rStyle w:val="FootnoteCharacters"/>
        </w:rPr>
        <w:footnoteRef/>
      </w:r>
      <w:r>
        <w:rPr/>
        <w:t xml:space="preserve"> </w:t>
      </w:r>
      <w:r>
        <w:rPr/>
        <w:tab/>
        <w:t>The EEI Agreement (Art. 5.4) requires that the party owing the Termination Payment must pay it within two business days after notice is given and does not specify whether a dispute delays payment.  The WSPP Agreement provides (§ 22.3 at 31)  that pending resolution of any dispute “the Defaulting Party shall pay the full amount of the Termination Payment calculated by the Non-Defaulting Party” subject to refund by the non-defaulting party of any amounts determined to have been overpaid.</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numPr>
        <w:ilvl w:val="0"/>
        <w:numId w:val="1"/>
      </w:numPr>
      <w:jc w:val="center"/>
      <w:outlineLvl w:val="0"/>
    </w:pPr>
    <w:rPr>
      <w:b/>
      <w:bCs/>
      <w:caps/>
    </w:rPr>
  </w:style>
  <w:style w:type="paragraph" w:styleId="Heading2">
    <w:name w:val="heading 2"/>
    <w:basedOn w:val="Normal"/>
    <w:next w:val="Normal"/>
    <w:qFormat/>
    <w:pPr>
      <w:numPr>
        <w:ilvl w:val="1"/>
        <w:numId w:val="1"/>
      </w:numPr>
      <w:spacing w:before="0" w:after="240"/>
      <w:ind w:hanging="720" w:start="720" w:end="0"/>
      <w:outlineLvl w:val="1"/>
    </w:pPr>
    <w:rPr>
      <w:b/>
      <w:bCs/>
    </w:rPr>
  </w:style>
  <w:style w:type="paragraph" w:styleId="Heading3">
    <w:name w:val="heading 3"/>
    <w:basedOn w:val="Normal"/>
    <w:next w:val="Normal"/>
    <w:qFormat/>
    <w:pPr>
      <w:numPr>
        <w:ilvl w:val="2"/>
        <w:numId w:val="1"/>
      </w:numPr>
      <w:spacing w:before="0" w:after="240"/>
      <w:ind w:hanging="720" w:start="1440" w:end="0"/>
      <w:outlineLvl w:val="2"/>
    </w:pPr>
    <w:rPr>
      <w:b/>
      <w:bCs/>
    </w:rPr>
  </w:style>
  <w:style w:type="paragraph" w:styleId="Heading4">
    <w:name w:val="heading 4"/>
    <w:basedOn w:val="Normal"/>
    <w:next w:val="Normal"/>
    <w:qFormat/>
    <w:pPr>
      <w:numPr>
        <w:ilvl w:val="3"/>
        <w:numId w:val="1"/>
      </w:numPr>
      <w:spacing w:before="0" w:after="240"/>
      <w:ind w:hanging="720" w:start="2160" w:end="0"/>
      <w:outlineLvl w:val="3"/>
    </w:pPr>
    <w:rPr>
      <w:b/>
      <w:bCs/>
    </w:rPr>
  </w:style>
  <w:style w:type="paragraph" w:styleId="Heading5">
    <w:name w:val="heading 5"/>
    <w:basedOn w:val="Normal"/>
    <w:next w:val="Normal"/>
    <w:qFormat/>
    <w:pPr>
      <w:numPr>
        <w:ilvl w:val="4"/>
        <w:numId w:val="1"/>
      </w:numPr>
      <w:spacing w:before="0" w:after="240"/>
      <w:ind w:hanging="720" w:start="2880" w:end="0"/>
      <w:outlineLvl w:val="4"/>
    </w:pPr>
    <w:rPr>
      <w:b/>
      <w:bCs/>
    </w:rPr>
  </w:style>
  <w:style w:type="paragraph" w:styleId="Heading6">
    <w:name w:val="heading 6"/>
    <w:basedOn w:val="Normal"/>
    <w:next w:val="Normal"/>
    <w:qFormat/>
    <w:pPr>
      <w:numPr>
        <w:ilvl w:val="5"/>
        <w:numId w:val="1"/>
      </w:numPr>
      <w:spacing w:before="0" w:after="240"/>
      <w:ind w:hanging="720" w:start="3600" w:end="0"/>
      <w:outlineLvl w:val="5"/>
    </w:pPr>
    <w:rPr>
      <w:b/>
      <w:bCs/>
    </w:rPr>
  </w:style>
  <w:style w:type="paragraph" w:styleId="Heading7">
    <w:name w:val="heading 7"/>
    <w:basedOn w:val="Normal"/>
    <w:next w:val="Normal"/>
    <w:qFormat/>
    <w:pPr>
      <w:numPr>
        <w:ilvl w:val="6"/>
        <w:numId w:val="1"/>
      </w:numPr>
      <w:spacing w:before="0" w:after="240"/>
      <w:ind w:hanging="720" w:start="4320" w:end="0"/>
      <w:outlineLvl w:val="6"/>
    </w:pPr>
    <w:rPr>
      <w:b/>
      <w:bCs/>
    </w:rPr>
  </w:style>
  <w:style w:type="paragraph" w:styleId="Heading8">
    <w:name w:val="heading 8"/>
    <w:basedOn w:val="Normal"/>
    <w:next w:val="Normal"/>
    <w:qFormat/>
    <w:pPr>
      <w:numPr>
        <w:ilvl w:val="7"/>
        <w:numId w:val="1"/>
      </w:numPr>
      <w:spacing w:before="0" w:after="240"/>
      <w:ind w:hanging="720" w:start="5040" w:end="0"/>
      <w:outlineLvl w:val="7"/>
    </w:pPr>
    <w:rPr>
      <w:b/>
      <w:bCs/>
    </w:rPr>
  </w:style>
  <w:style w:type="paragraph" w:styleId="Heading9">
    <w:name w:val="heading 9"/>
    <w:basedOn w:val="Normal"/>
    <w:next w:val="Normal"/>
    <w:qFormat/>
    <w:pPr>
      <w:numPr>
        <w:ilvl w:val="8"/>
        <w:numId w:val="1"/>
      </w:numPr>
      <w:spacing w:before="0" w:after="240"/>
      <w:ind w:hanging="720" w:start="5760" w:end="0"/>
      <w:outlineLvl w:val="8"/>
    </w:pPr>
    <w:rPr>
      <w:b/>
      <w:bCs/>
    </w:rPr>
  </w:style>
  <w:style w:type="character" w:styleId="DefaultParagraphFont">
    <w:name w:val="Default Paragraph Font"/>
    <w:qFormat/>
    <w:rPr/>
  </w:style>
  <w:style w:type="character" w:styleId="LineNumber">
    <w:name w:val="line number"/>
    <w:basedOn w:val="DefaultParagraphFont"/>
    <w:rPr>
      <w:sz w:val="24"/>
      <w:szCs w:val="24"/>
    </w:rPr>
  </w:style>
  <w:style w:type="character" w:styleId="PageNumber">
    <w:name w:val="page number"/>
    <w:basedOn w:val="DefaultParagraphFont"/>
    <w:rPr/>
  </w:style>
  <w:style w:type="character" w:styleId="FootnoteCharacters">
    <w:name w:val="Footnote Characters"/>
    <w:basedOn w:val="DefaultParagraphFont"/>
    <w:qFormat/>
    <w:rPr>
      <w:sz w:val="24"/>
      <w:szCs w:val="24"/>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ind w:hanging="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PlainText">
    <w:name w:val="Plain Text"/>
    <w:basedOn w:val="Normal"/>
    <w:qFormat/>
    <w:pPr/>
    <w:rPr/>
  </w:style>
  <w:style w:type="paragraph" w:styleId="Header">
    <w:name w:val="header"/>
    <w:basedOn w:val="Normal"/>
    <w:pPr/>
    <w:rPr/>
  </w:style>
  <w:style w:type="paragraph" w:styleId="TOC1">
    <w:name w:val="toc 1"/>
    <w:basedOn w:val="Normal"/>
    <w:next w:val="Normal"/>
    <w:pPr>
      <w:spacing w:before="0" w:after="240"/>
      <w:ind w:hanging="720" w:start="720" w:end="720"/>
      <w:jc w:val="start"/>
    </w:pPr>
    <w:rPr>
      <w:caps/>
    </w:rPr>
  </w:style>
  <w:style w:type="paragraph" w:styleId="TOC2">
    <w:name w:val="toc 2"/>
    <w:basedOn w:val="Normal"/>
    <w:next w:val="Normal"/>
    <w:pPr>
      <w:spacing w:before="0" w:after="240"/>
      <w:ind w:hanging="720" w:start="1440" w:end="720"/>
      <w:jc w:val="start"/>
    </w:pPr>
    <w:rPr/>
  </w:style>
  <w:style w:type="paragraph" w:styleId="TOC3">
    <w:name w:val="toc 3"/>
    <w:basedOn w:val="Normal"/>
    <w:next w:val="Normal"/>
    <w:pPr>
      <w:spacing w:before="0" w:after="240"/>
      <w:ind w:hanging="720" w:start="2160" w:end="720"/>
      <w:jc w:val="start"/>
    </w:pPr>
    <w:rPr/>
  </w:style>
  <w:style w:type="paragraph" w:styleId="TOC4">
    <w:name w:val="toc 4"/>
    <w:basedOn w:val="Normal"/>
    <w:next w:val="Normal"/>
    <w:pPr>
      <w:spacing w:before="0" w:after="240"/>
      <w:ind w:hanging="720" w:start="2880" w:end="720"/>
      <w:jc w:val="start"/>
    </w:pPr>
    <w:rPr/>
  </w:style>
  <w:style w:type="paragraph" w:styleId="TOC5">
    <w:name w:val="toc 5"/>
    <w:basedOn w:val="Normal"/>
    <w:next w:val="Normal"/>
    <w:pPr>
      <w:spacing w:before="0" w:after="240"/>
      <w:ind w:hanging="720" w:start="3600" w:end="720"/>
      <w:jc w:val="start"/>
    </w:pPr>
    <w:rPr/>
  </w:style>
  <w:style w:type="paragraph" w:styleId="TOC6">
    <w:name w:val="toc 6"/>
    <w:basedOn w:val="Normal"/>
    <w:next w:val="Normal"/>
    <w:pPr>
      <w:spacing w:before="0" w:after="240"/>
      <w:ind w:hanging="720" w:start="4320" w:end="720"/>
      <w:jc w:val="start"/>
    </w:pPr>
    <w:rPr/>
  </w:style>
  <w:style w:type="paragraph" w:styleId="TOC7">
    <w:name w:val="toc 7"/>
    <w:basedOn w:val="Normal"/>
    <w:next w:val="Normal"/>
    <w:pPr>
      <w:spacing w:before="0" w:after="240"/>
      <w:ind w:hanging="720" w:start="5040" w:end="720"/>
      <w:jc w:val="start"/>
    </w:pPr>
    <w:rPr/>
  </w:style>
  <w:style w:type="paragraph" w:styleId="TOC8">
    <w:name w:val="toc 8"/>
    <w:basedOn w:val="Normal"/>
    <w:next w:val="Normal"/>
    <w:pPr>
      <w:spacing w:before="0" w:after="240"/>
      <w:ind w:hanging="720" w:start="5760" w:end="720"/>
      <w:jc w:val="start"/>
    </w:pPr>
    <w:rPr/>
  </w:style>
  <w:style w:type="paragraph" w:styleId="TOC9">
    <w:name w:val="toc 9"/>
    <w:basedOn w:val="Normal"/>
    <w:next w:val="Normal"/>
    <w:pPr>
      <w:spacing w:before="0" w:after="240"/>
      <w:ind w:hanging="720" w:start="6480" w:end="720"/>
      <w:jc w:val="start"/>
    </w:pPr>
    <w:rPr/>
  </w:style>
  <w:style w:type="paragraph" w:styleId="BlockText">
    <w:name w:val="Block Text"/>
    <w:basedOn w:val="Normal"/>
    <w:qFormat/>
    <w:pPr>
      <w:spacing w:before="0" w:after="240"/>
      <w:ind w:hanging="0" w:start="1440" w:end="1440"/>
    </w:pPr>
    <w:rPr/>
  </w:style>
  <w:style w:type="paragraph" w:styleId="NORMALDOUBLESPACED">
    <w:name w:val="NORMAL DOUBLE SPACED"/>
    <w:basedOn w:val="Normal"/>
    <w:qFormat/>
    <w:pPr>
      <w:spacing w:lineRule="auto" w:line="480"/>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2000-01-26T14:04:00Z</dcterms:created>
  <dc:creator>Jennifer Depukat</dc:creator>
  <dc:description/>
  <dc:language>en-CA</dc:language>
  <cp:lastModifiedBy>Reception Desk</cp:lastModifiedBy>
  <cp:lastPrinted>2000-01-26T10:18:00Z</cp:lastPrinted>
  <dcterms:modified xsi:type="dcterms:W3CDTF">2000-01-26T14:04:00Z</dcterms:modified>
  <cp:revision>2</cp:revision>
  <dc:subject/>
  <dc:title>MEMORANDUM</dc:title>
</cp:coreProperties>
</file>