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Heading1"/>
        <w:keepLines w:val="false"/>
        <w:ind w:hanging="0" w:start="0"/>
        <w:rPr>
          <w:caps w:val="false"/>
          <w:smallCaps w:val="false"/>
          <w:spacing w:val="0"/>
          <w:lang w:eastAsia="en-CA"/>
        </w:rPr>
      </w:pPr>
      <w:r>
        <w:rPr>
          <w:caps w:val="false"/>
          <w:smallCaps w:val="false"/>
          <w:spacing w:val="0"/>
          <w:lang w:eastAsia="en-CA"/>
        </w:rPr>
        <w:t>BEFORE THE</w:t>
      </w:r>
    </w:p>
    <w:p>
      <w:pPr>
        <w:pStyle w:val="Normal"/>
        <w:jc w:val="center"/>
        <w:rPr>
          <w:b/>
        </w:rPr>
      </w:pPr>
      <w:r>
        <w:rPr>
          <w:b/>
        </w:rPr>
        <w:t>FEDERAL ENERGY REGULATORY COMMISSION</w:t>
      </w:r>
    </w:p>
    <w:p>
      <w:pPr>
        <w:pStyle w:val="Normal"/>
        <w:rPr/>
      </w:pPr>
      <w:r>
        <w:rPr/>
      </w:r>
    </w:p>
    <w:p>
      <w:pPr>
        <w:pStyle w:val="Normal"/>
        <w:rPr/>
      </w:pPr>
      <w:r>
        <w:rPr/>
      </w:r>
    </w:p>
    <w:p>
      <w:pPr>
        <w:pStyle w:val="Normal"/>
        <w:rPr/>
      </w:pPr>
      <w:r>
        <w:rPr/>
        <w:t>El Paso Natural Gas Company</w:t>
        <w:tab/>
        <w:tab/>
        <w:t>)</w:t>
        <w:tab/>
        <w:t>Docket No. RP00-336-000</w:t>
      </w:r>
    </w:p>
    <w:p>
      <w:pPr>
        <w:pStyle w:val="Normal"/>
        <w:rPr/>
      </w:pPr>
      <w:r>
        <w:rPr/>
        <w:tab/>
        <w:tab/>
        <w:tab/>
        <w:tab/>
        <w:tab/>
        <w:tab/>
        <w:tab/>
        <w:tab/>
        <w:t xml:space="preserve">       (and subdockets)</w:t>
      </w:r>
    </w:p>
    <w:p>
      <w:pPr>
        <w:pStyle w:val="Normal"/>
        <w:rPr/>
      </w:pPr>
      <w:r>
        <w:rPr/>
      </w:r>
    </w:p>
    <w:p>
      <w:pPr>
        <w:pStyle w:val="Normal"/>
        <w:jc w:val="center"/>
        <w:rPr>
          <w:b/>
        </w:rPr>
      </w:pPr>
      <w:r>
        <w:rPr>
          <w:b/>
        </w:rPr>
        <w:t>INITIAL COMMENTS</w:t>
      </w:r>
    </w:p>
    <w:p>
      <w:pPr>
        <w:pStyle w:val="Normal"/>
        <w:jc w:val="center"/>
        <w:rPr>
          <w:b/>
        </w:rPr>
      </w:pPr>
      <w:r>
        <w:rPr>
          <w:b/>
        </w:rPr>
        <w:t>ON TECHNICAL CONFERENCES OF</w:t>
      </w:r>
    </w:p>
    <w:p>
      <w:pPr>
        <w:pStyle w:val="Normal"/>
        <w:jc w:val="center"/>
        <w:rPr>
          <w:b/>
        </w:rPr>
      </w:pPr>
      <w:r>
        <w:rPr>
          <w:b/>
        </w:rPr>
        <w:t>SID RICHARDSON ENERGY SERVICES CO.,</w:t>
      </w:r>
    </w:p>
    <w:p>
      <w:pPr>
        <w:pStyle w:val="Normal"/>
        <w:jc w:val="center"/>
        <w:rPr>
          <w:b/>
        </w:rPr>
      </w:pPr>
      <w:r>
        <w:rPr>
          <w:b/>
        </w:rPr>
        <w:t>SID RICHARDSON PIPELINE, LTD. AND</w:t>
      </w:r>
    </w:p>
    <w:p>
      <w:pPr>
        <w:pStyle w:val="Normal"/>
        <w:jc w:val="center"/>
        <w:rPr>
          <w:b/>
        </w:rPr>
      </w:pPr>
      <w:r>
        <w:rPr>
          <w:b/>
        </w:rPr>
        <w:t>RICHARDSON ENERGY MARKETING, LTD.</w:t>
      </w:r>
    </w:p>
    <w:p>
      <w:pPr>
        <w:pStyle w:val="Normal"/>
        <w:rPr>
          <w:b/>
        </w:rPr>
      </w:pPr>
      <w:r>
        <w:rPr>
          <w:b/>
        </w:rPr>
      </w:r>
    </w:p>
    <w:p>
      <w:pPr>
        <w:pStyle w:val="NORMALDOUBLESPACED"/>
        <w:rPr/>
      </w:pPr>
      <w:r>
        <w:rPr/>
        <w:tab/>
        <w:t>Sid Richardson Energy Services Co., Sid Richardson Pipeline, Ltd., and Richardson Energy Marketing, Ltd. (collectively, “Richardson”) hereby submit these initial comments on the technical conferences held in this proceeding on July 18-19 and August 28, 2001.  Richardson urges the Staff to recommend that the Commission reject El Paso Natural Gas Company’s (“El Paso”) proposal to divide its six existing gas trading pools into 20 pools.  Richardson’s particular concern is the impact of El Paso’s proposal on the Permian Basin pools.</w:t>
      </w:r>
    </w:p>
    <w:p>
      <w:pPr>
        <w:pStyle w:val="NORMALDOUBLESPACED"/>
        <w:jc w:val="center"/>
        <w:rPr>
          <w:b/>
        </w:rPr>
      </w:pPr>
      <w:r>
        <w:rPr>
          <w:b/>
        </w:rPr>
        <w:t>RICHARDSON’S POSITION</w:t>
      </w:r>
    </w:p>
    <w:p>
      <w:pPr>
        <w:pStyle w:val="NORMALDOUBLESPACED"/>
        <w:rPr/>
      </w:pPr>
      <w:r>
        <w:rPr/>
        <w:tab/>
        <w:t>The question before the Staff and the Commission in this proceeding is whether El Paso’s March 28, 2001 proposal provides a just and reasonable resolution of the system-wide capacity allocation issues that the Commission directed El Paso to address.  Richardson submits that the answer to that question must be in the negative.  Rather than addressing the fundamental problem of El Paso’s persistent -- and, apparently, growing -- inability to deliver the firm service for which its firm CD customers have contracted, El Paso’s proposal is directed solely toward allocating receipt rights at a proposed new set of 20 receipt pools, which El Paso would create by dividing its six existing pools.  El Paso’s proposal to disaggregate its existing pools should be rejected.</w:t>
      </w:r>
    </w:p>
    <w:p>
      <w:pPr>
        <w:pStyle w:val="NORMALDOUBLESPACED"/>
        <w:rPr/>
      </w:pPr>
      <w:r>
        <w:rPr/>
        <w:tab/>
        <w:t xml:space="preserve">El Paso’s proposal is inconsistent with the past two decades of Commission policy which has sought to foster the development of competitive natural gas markets by, among other things, encouraging the development of effective gas pooling points that bring large numbers of buyers and sellers together.  Under El Paso’s proposal, many pools -- particularly those in the Permian Basin -- would be fragmented to a level that precludes meaningful liquidity and price transparency, and thereby would allow the exercise of market power by individual buyers and sellers.  El Paso has offered no evidence that disaggregating the pools is necessary to its proposed procedure for allocating receipt rights.  To the contrary, past experience with a similar exercise on El Paso’s system proves that fragmenting pools will undermine liquidity, increase price volatility, and drive supplies off the El Paso system. Therefore, even if the Commission accepts in principle El Paso’s proposed allocation of receipt rights, it should reject El Paso’s proposal to disaggregate the six existing pooling points on the system into the 20 points that El Paso proposes.  </w:t>
      </w:r>
    </w:p>
    <w:p>
      <w:pPr>
        <w:pStyle w:val="NORMALDOUBLESPACED"/>
        <w:jc w:val="center"/>
        <w:rPr>
          <w:b/>
        </w:rPr>
      </w:pPr>
      <w:r>
        <w:rPr>
          <w:b/>
        </w:rPr>
        <w:t>BACKGROUND</w:t>
      </w:r>
    </w:p>
    <w:p>
      <w:pPr>
        <w:pStyle w:val="NORMALDOUBLESPACED"/>
        <w:rPr/>
      </w:pPr>
      <w:r>
        <w:rPr/>
        <w:tab/>
        <w:t>This proceeding arises generally from a series of complaints filed with the Commission during the past two years and, specifically, from the Commission’s order of February 26, 2001, in Docket Nos. RP99-507, et al.</w:t>
      </w:r>
      <w:r>
        <w:rPr>
          <w:rStyle w:val="FootnoteCharacters"/>
          <w:rStyle w:val="FootnoteReference"/>
        </w:rPr>
        <w:footnoteReference w:id="2"/>
      </w:r>
      <w:r>
        <w:rPr/>
        <w:t xml:space="preserve">  In general, the complaints allege that El Paso consistently reduces (“cuts”) the daily transportation nominations of those of its firm transportation customers that have maximum daily contract quantities,</w:t>
      </w:r>
      <w:r>
        <w:rPr>
          <w:rStyle w:val="FootnoteCharacters"/>
          <w:rStyle w:val="FootnoteReference"/>
        </w:rPr>
        <w:footnoteReference w:id="3"/>
      </w:r>
      <w:r>
        <w:rPr/>
        <w:t xml:space="preserve"> preventing those customers from transporting their full daily contract entitlements. In the February 26 order noted above, the Commission addressed a complaint regarding customers’ rights at El Paso’s Topock delivery points and, </w:t>
      </w:r>
      <w:r>
        <w:rPr>
          <w:i/>
        </w:rPr>
        <w:t>inter alia</w:t>
      </w:r>
      <w:r>
        <w:rPr/>
        <w:t xml:space="preserve">, ordered El Paso to file a proposal “addressing system-wide capacity allocation issues.”  </w:t>
      </w:r>
    </w:p>
    <w:p>
      <w:pPr>
        <w:pStyle w:val="NORMALDOUBLESPACED"/>
        <w:ind w:firstLine="720" w:end="0"/>
        <w:rPr/>
      </w:pPr>
      <w:r>
        <w:rPr/>
        <w:t>El Paso responded to that directive by filing on March 28, 2001, the proposal that has been the subject of the technical conferences to which these comments relate.  El Paso proposes to modify the receipt rights of its firm shippers, nearly all of whom now have system-wide receipt points, i.e., the right to nominate up to their full daily firm contract quantities or requirements at any receipt point on the system. El Paso proposes to initiate a process to allocate among its firm shippers maximum daily rights to receipts of gas at any or all of 20 proposed gas pools on the El Paso system.  The proposed 20 pools would replace six larger, existing pools on the El Paso system.  Firm shippers would be entitled to total receipt rights equal to their CDs, in the case of CD shippers, or to the billing determinants (“BDs”) on which their firm reservation charges are based, in the case of FR shippers.  All firm shippers would continue to have secondary, or alternate, firm receipt rights at all system receipt points (i.e., at all 20 of the proposed pools). More importantly, however, under El Paso’s proposal, FR shippers’ nominations for service from alternate receipt points to primary delivery points would have scheduling priority over CD shippers’ nominations of service from primary receipt points to primary (or alternate) delivery points.</w:t>
      </w:r>
    </w:p>
    <w:p>
      <w:pPr>
        <w:pStyle w:val="NORMALDOUBLESPACED"/>
        <w:jc w:val="center"/>
        <w:rPr>
          <w:b/>
        </w:rPr>
      </w:pPr>
      <w:r>
        <w:rPr>
          <w:b/>
        </w:rPr>
        <w:t>RICHARDSON’S INTEREST</w:t>
      </w:r>
    </w:p>
    <w:p>
      <w:pPr>
        <w:pStyle w:val="NORMALDOUBLESPACED"/>
        <w:rPr/>
      </w:pPr>
      <w:r>
        <w:rPr/>
        <w:tab/>
        <w:t>Richardson has a direct interest in this proceeding as a gatherer, processor, and marketer of natural gas that is delivered into, and shipped on, El Paso’s transmission system.  Most of the gas delivered by Richardson to El Paso’s system is produced in the Permian Basin region.  Richardson owns and operates three large gas processing plants and associated gathering systems that deliver gas into El Paso’s transmission system on behalf of various shippers: the Jal plant in southeast New Mexico, and the Keystone and Coyanosa plants in west Texas.  Richardson also owns and operates the Mi Vida plant in west Texas, which provides gathering and treating services.  Additionally, Richardson receives gas directly from El Paso’s system for use as fuel gas in two carbon black production plants.</w:t>
      </w:r>
    </w:p>
    <w:p>
      <w:pPr>
        <w:pStyle w:val="NORMALDOUBLESPACED"/>
        <w:rPr/>
      </w:pPr>
      <w:r>
        <w:rPr/>
        <w:tab/>
        <w:t>Richardson seeks a resolution of this proceeding that will enhance the efficiency and reliability of gas markets on the El Paso system.  Richardson submits that it is in the best interests of all shippers, consumers and sellers of gas to facilitate active, liquid trading markets on the El Paso system and to ensure that they can rely, in the absence of force majeure events, on El Paso to transport all gas that customers tender at receipt points, and schedule for transportation to delivery points, on a firm basis.</w:t>
      </w:r>
    </w:p>
    <w:p>
      <w:pPr>
        <w:pStyle w:val="NORMALDOUBLESPACED"/>
        <w:jc w:val="center"/>
        <w:rPr>
          <w:b/>
        </w:rPr>
      </w:pPr>
      <w:r>
        <w:rPr>
          <w:b/>
        </w:rPr>
        <w:t>ANALYSIS</w:t>
      </w:r>
    </w:p>
    <w:p>
      <w:pPr>
        <w:pStyle w:val="NORMALDOUBLESPACED"/>
        <w:rPr/>
      </w:pPr>
      <w:r>
        <w:rPr/>
        <w:tab/>
        <w:t xml:space="preserve">El Paso’s March 28 proposal must stand or fall based on whether its elements are necessary and appropriate to resolve the capacity allocation issues presented in the complaints that led to this proceeding. Those complaints present unrefuted evidence that shippers on El Paso’s system are not receiving the firm transportation service for which they have contracted.  Reductions of shippers’ firm service nominations have become a routine aspect of doing business on the El Paso system.  </w:t>
      </w:r>
    </w:p>
    <w:p>
      <w:pPr>
        <w:pStyle w:val="NORMALDOUBLESPACED"/>
        <w:ind w:firstLine="720" w:end="0"/>
        <w:rPr/>
      </w:pPr>
      <w:r>
        <w:rPr/>
        <w:t xml:space="preserve">Such cuts throw sellers like Richardson into imbalance positions on the El Paso system through no acts or omissions of their own and disrupt the supply arrangements of marketers and distributors.  Producers and marketers, including Richardson, thus increasingly have to regard doing business on the El Paso system as a least-favored option, i.e., only after arranging as much business as possible in available alternative markets will sellers undertake transactions on the El Paso system. Ultimately, these circumstances force customers to pay higher prices than they otherwise would have or should have paid.  </w:t>
      </w:r>
    </w:p>
    <w:p>
      <w:pPr>
        <w:pStyle w:val="NORMALDOUBLESPACED"/>
        <w:ind w:firstLine="720" w:end="0"/>
        <w:rPr/>
      </w:pPr>
      <w:r>
        <w:rPr/>
        <w:t>El Paso’s proposed procedure for allocating receipt rights by disaggregating its pooling points does not address the real problem on the El Paso system and, therefore, will not end the cuts in nominations that underlay the complaints that the Commission is seeking to resolve.  El Paso has not demonstrated that disaggregating the pooling points is necessary to accomplish the allocation of receipt rights on its system.  Nor has El Paso demonstrated tangible benefits that outweigh the substantial harm to gas markets that would result from its proposal.  Therefore, the Commission should reject the proposed changes to El Paso’s pooling points.</w:t>
      </w:r>
    </w:p>
    <w:p>
      <w:pPr>
        <w:pStyle w:val="NORMALDOUBLESPACED"/>
        <w:spacing w:lineRule="auto" w:line="240"/>
        <w:ind w:hanging="720" w:start="1440" w:end="0"/>
        <w:rPr>
          <w:b/>
        </w:rPr>
      </w:pPr>
      <w:r>
        <w:rPr>
          <w:b/>
        </w:rPr>
        <w:t>1.</w:t>
        <w:tab/>
        <w:t>El Paso’s Proposal Is Inconsistent With The Commission’s Policies Fostering Competitive Gas Markets And Encouraging The Development of Effective Trading Pools.</w:t>
      </w:r>
    </w:p>
    <w:p>
      <w:pPr>
        <w:pStyle w:val="NORMALDOUBLESPACED"/>
        <w:spacing w:lineRule="auto" w:line="240"/>
        <w:ind w:hanging="720" w:start="1440" w:end="0"/>
        <w:rPr/>
      </w:pPr>
      <w:r>
        <w:rPr/>
      </w:r>
    </w:p>
    <w:p>
      <w:pPr>
        <w:pStyle w:val="NORMALDOUBLESPACED"/>
        <w:ind w:firstLine="720" w:end="0"/>
        <w:rPr/>
      </w:pPr>
      <w:r>
        <w:rPr/>
        <w:t>Over the past two decades of industry restructuring, the Commission has sought to regulate pipelines in a manner that fosters competitive natural gas markets.  A key element of the Commission’s procompetitive policy has been to encourage -- and even mandate -- the development of “pooling points,”</w:t>
      </w:r>
      <w:r>
        <w:rPr>
          <w:rStyle w:val="FootnoteCharacters"/>
          <w:rStyle w:val="FootnoteReference"/>
        </w:rPr>
        <w:footnoteReference w:id="4"/>
      </w:r>
      <w:r>
        <w:rPr/>
        <w:t xml:space="preserve"> where large numbers of buyers and sellers can come together.  Such pooling points promote competition by providing liquidity, price transparency, and a natural “check” on the market power of any individual buyer or seller.  The Commission should take pride in the overwhelming success and enormous benefits of these procompetitive initiatives.</w:t>
      </w:r>
    </w:p>
    <w:p>
      <w:pPr>
        <w:pStyle w:val="NORMALDOUBLESPACED"/>
        <w:ind w:firstLine="720" w:end="0"/>
        <w:rPr/>
      </w:pPr>
      <w:r>
        <w:rPr/>
        <w:t>The Commission explained the growing importance of pooling points as follows:</w:t>
      </w:r>
    </w:p>
    <w:p>
      <w:pPr>
        <w:pStyle w:val="NORMALDOUBLESPACED"/>
        <w:spacing w:lineRule="auto" w:line="240"/>
        <w:ind w:firstLine="720" w:start="720" w:end="720"/>
        <w:rPr/>
      </w:pPr>
      <w:r>
        <w:rPr/>
        <w:t>One of the Commission’s goals in Order No. 636 was to establish a pipeline structure that would facilitate the meeting of gas purchasers and sellers in a national gas market.  This marketplace could occur either at points of interconnection between pipelines or at pooling points, where shippers can aggregate supplies from multiple receipt points.  The Commission required pipelines not to adopt policies that would inhibit the development of market centers at pipeline interconnects or the development of pooling.  While the Commission did not mandate that pipelines establish pooling areas in Order No. 636, the industry and the Commission subsequently have recognized the importance of pooling in creating a more competitive and liquid gas market, and the Commission has now required pipelines to provide effective pooling areas on their systems.</w:t>
      </w:r>
    </w:p>
    <w:p>
      <w:pPr>
        <w:pStyle w:val="NORMALDOUBLESPACED"/>
        <w:spacing w:lineRule="auto" w:line="240"/>
        <w:ind w:firstLine="720" w:end="0"/>
        <w:rPr/>
      </w:pPr>
      <w:r>
        <w:rPr/>
      </w:r>
    </w:p>
    <w:p>
      <w:pPr>
        <w:pStyle w:val="NORMALDOUBLESPACED"/>
        <w:rPr/>
      </w:pPr>
      <w:r>
        <w:rPr>
          <w:u w:val="single"/>
        </w:rPr>
        <w:t>Transcontinental Gas Pipe Line Corporation</w:t>
      </w:r>
      <w:r>
        <w:rPr/>
        <w:t>, 86 FERC ¶ 61,175 at 61,613 (1999) (footnotes omitted).</w:t>
      </w:r>
    </w:p>
    <w:p>
      <w:pPr>
        <w:pStyle w:val="NORMALDOUBLESPACED"/>
        <w:rPr/>
      </w:pPr>
      <w:r>
        <w:rPr/>
        <w:tab/>
        <w:t>El Paso’s proposal to disaggregate its pooling points would undermine the Commission’s procompetitive initiatives and harm natural gas markets served by El Paso’s system.  As discussed in the sections below, El Paso’s proposal will destroy liquidity and price transparency in many pools by severely limiting the possible number of buyers and sellers.  That will inevitably increase the opportunity for individual buyers and sellers to exercise market power.  It will also drive suppliers with multiple outlets for their gas (such as Richardson) to view El Paso as the market of last resort.  El Paso has not shown that these harmful consequences of its proposal are offset by any significant countervailing benefits.  Accordingly, El Paso’s proposal should be rejected as contrary to the Commission’s procompetitive policies and regulations.</w:t>
      </w:r>
    </w:p>
    <w:p>
      <w:pPr>
        <w:pStyle w:val="NORMALDOUBLESPACED"/>
        <w:spacing w:lineRule="auto" w:line="240"/>
        <w:ind w:hanging="720" w:start="1440" w:end="0"/>
        <w:rPr/>
      </w:pPr>
      <w:r>
        <w:rPr>
          <w:b/>
        </w:rPr>
        <w:t>2.</w:t>
      </w:r>
      <w:r>
        <w:rPr/>
        <w:tab/>
      </w:r>
      <w:r>
        <w:rPr>
          <w:b/>
        </w:rPr>
        <w:t>El Paso’s Proposal Seeks To End-Run, Rather Than Address, The Critical Capacity-Related Problems On Its System.</w:t>
      </w:r>
    </w:p>
    <w:p>
      <w:pPr>
        <w:pStyle w:val="NORMALDOUBLESPACED"/>
        <w:spacing w:lineRule="auto" w:line="240"/>
        <w:ind w:hanging="720" w:start="1440" w:end="0"/>
        <w:rPr>
          <w:b/>
        </w:rPr>
      </w:pPr>
      <w:r>
        <w:rPr>
          <w:b/>
        </w:rPr>
      </w:r>
    </w:p>
    <w:p>
      <w:pPr>
        <w:pStyle w:val="NORMALDOUBLESPACED"/>
        <w:ind w:firstLine="720" w:end="0"/>
        <w:rPr/>
      </w:pPr>
      <w:r>
        <w:rPr/>
        <w:t>El Paso’s proposal does not and cannot resolve the critical issues in this proceeding because it neither increases system capacity nor decreases system demand.  El Paso repeatedly acknowledged that the key constraint points for westward flows on its system are Window Rock on the northern mainline and Cornudas on the southern mainline.  At the technical conference, El Paso conceded that its proposal to disaggregate pooling points would not result in one additional molecule of gas moving through those key constraint points.</w:t>
      </w:r>
    </w:p>
    <w:p>
      <w:pPr>
        <w:pStyle w:val="NORMALDOUBLESPACED"/>
        <w:ind w:firstLine="720" w:end="0"/>
        <w:rPr/>
      </w:pPr>
      <w:r>
        <w:rPr/>
        <w:t>The only minimal benefit that El Paso alleged would result from its pooling proposal would be a greater likelihood that El Paso could honor poolers’ stated priorities when scheduling and making cuts to firm service.  That purported benefit does not justify dismantling the current pools.  Richardson and most other poolers (suppliers) indicated that the “pooler priorities” are of little consequence given the level of service cuts on El Paso’s system.  Richardson and other suppliers would readily give up pooler priorities entirely if that would increase certainty and reliability on El Paso’s system.  In sum, pooler priorities are not a valid reason for disaggregating the existing pools.</w:t>
      </w:r>
    </w:p>
    <w:p>
      <w:pPr>
        <w:pStyle w:val="NORMALDOUBLESPACED"/>
        <w:ind w:firstLine="720" w:end="0"/>
        <w:rPr/>
      </w:pPr>
      <w:r>
        <w:rPr/>
        <w:t xml:space="preserve">None of the variety of studies that El Paso presented to the parties on August 15 or September 25, 2001, demonstrates that pro rata allocations would not still be necessary under El Paso’s proposal.  El Paso’s Study 2 purports to show that El Paso could use its proposed system of receipt rights to meet all customers’ nominations with no reductions at receipt points. When reviewed in context with El Paso’s other allocation studies, however, the critical fallacy of Study 2 becomes readily apparent.  For example, for Study 3, El Paso used each FT-1 FR customer’s non-coincident peak (“NCP”) demand during the past 12 months.  Comparing those NCPs with the demands that El Paso used in Study 2 for the same customers shows that most FR customers have peak demands well in excess of the quantities that El Paso used in Study 2.  Similarly, Study 3b shows that the FR customers together have coincident peak demands of 1,053,831 Mdt/d, nearly 300,000 Mdt/d more than the 764,102 Mdt/d on which El Paso based Study 2. More importantly, comparison of Studies 4a and 4b with the Study 2 data show that the FR customers anticipate enormous increases in their demands, to levels far in excess of the quantities used in Study 2. </w:t>
      </w:r>
    </w:p>
    <w:p>
      <w:pPr>
        <w:pStyle w:val="NORMALDOUBLESPACED"/>
        <w:ind w:firstLine="720" w:end="0"/>
        <w:rPr/>
      </w:pPr>
      <w:r>
        <w:rPr/>
        <w:t xml:space="preserve">The unavoidable conclusion is that Study 2, at best, illustrates a single, essentially best-case, set of circumstances under which El Paso, using its proposed procedure for allocating firm receipt rights, would be able to provide all customers’ nominations without any cuts. But at levels of FR demand in excess of that used in Study 2, as in Studies 3a, 3b, 4a and 4b, the cuts will continue.  Significantly, El Paso has provided no evidence that the levels of FR demands that it used in Study 2 are representative of existing FR demands.  Equally important, El Paso has not even attempted to demonstrate that it will be able to fulfill the contractual entitlements of CD customers and meet all FR demands when the FR customers’ requirements are at, for example, the levels used in Studies 3a and 3b, which are based on the actual experience of the past 12 months. </w:t>
      </w:r>
    </w:p>
    <w:p>
      <w:pPr>
        <w:pStyle w:val="NORMALDOUBLESPACED"/>
        <w:ind w:firstLine="720" w:end="0"/>
        <w:rPr/>
      </w:pPr>
      <w:r>
        <w:rPr/>
        <w:t>Moreover, while it appears that El Paso’s receipt allocation proposal would limit CD customers’ rights to skew their nominations heavily in favor of San Juan supplies, it would not impose similar restrictions on FR customers.  The proposed scheduling priority for FR customers’ nominations from alternate receipt points to primary delivery points would enable those customers to continue to try to “game” the nomination process to obtain relatively greater rights to acquire San Juan gas (or, more precisely, a relatively disproportional share of the capacity out of the San Juan Triangle through the Window Rock compressor station).  Richardson believes, based on the record of this proceeding, that the scheduling problems on the El Paso system today arise in large part from FR customers at the system’s west end trying to maximize their receipts of San Juan gas.  Accordingly, El Paso’s receipt allocation proposal will not address the critical problem that the Commission seeks to resolve in this proceeding.</w:t>
      </w:r>
    </w:p>
    <w:p>
      <w:pPr>
        <w:pStyle w:val="NORMALDOUBLESPACED"/>
        <w:keepNext w:val="true"/>
        <w:spacing w:lineRule="auto" w:line="240"/>
        <w:ind w:hanging="720" w:start="1440" w:end="0"/>
        <w:rPr>
          <w:b/>
        </w:rPr>
      </w:pPr>
      <w:r>
        <w:rPr>
          <w:b/>
        </w:rPr>
        <w:t>3.</w:t>
        <w:tab/>
        <w:t>Experience Shows That El Paso’s Proposal Will Undermine Liquidity And Price Transparency.</w:t>
      </w:r>
    </w:p>
    <w:p>
      <w:pPr>
        <w:pStyle w:val="NORMALDOUBLESPACED"/>
        <w:keepNext w:val="true"/>
        <w:spacing w:lineRule="auto" w:line="240"/>
        <w:ind w:hanging="720" w:start="1440" w:end="0"/>
        <w:rPr/>
      </w:pPr>
      <w:r>
        <w:rPr/>
      </w:r>
    </w:p>
    <w:p>
      <w:pPr>
        <w:pStyle w:val="NORMALDOUBLESPACED"/>
        <w:ind w:firstLine="720" w:end="0"/>
        <w:rPr/>
      </w:pPr>
      <w:r>
        <w:rPr/>
        <w:t xml:space="preserve">Even if the Commission agrees in concept that allocation of receipt rights is an essential step in addressing the persistent issues of capacity allocation on the El Paso system, there is no reason to accept El Paso’s suggestion that fragmenting the system’s six existing pooling points into 20 points is a necessary element of the allocation methodology.  In fact, El Paso never has attempted to show that disaggregation of the pools is critical to its receipt allocation proposal.  This is a critical factor, for if adopted, El Paso’s proposal to fragment pooling on its system will harm all stakeholders.  </w:t>
      </w:r>
    </w:p>
    <w:p>
      <w:pPr>
        <w:pStyle w:val="NORMALDOUBLESPACED"/>
        <w:ind w:firstLine="720" w:end="0"/>
        <w:rPr/>
      </w:pPr>
      <w:r>
        <w:rPr/>
        <w:t>El Paso proposes to split the two existing San Juan Basin pools into four pools; to split the one existing Anadarko Basin pool into three pools and to split the three existing Permian Basin pools into 13 pools.  Fragmenting the pools in this manner will reduce liquidity in gas markets on the El Paso system.  Pricing will become significantly less transparent and price volatility, which already is higher on the El Paso system than on perhaps any other pipeline, will increase.</w:t>
      </w:r>
    </w:p>
    <w:p>
      <w:pPr>
        <w:pStyle w:val="NORMALDOUBLESPACED"/>
        <w:ind w:firstLine="720" w:end="0"/>
        <w:rPr/>
      </w:pPr>
      <w:r>
        <w:rPr/>
        <w:t>Experience on El Paso’s system bears this out.  In 1996, El Paso split what then was a single “Permian” pool into three pools, “Keystone,” “Plains” and “Waha.”  The Keystone pool is the largest of the three and contains most of the receipt points that were in the old Permian pool.  Since 1996, liquidity has all but vanished from the Plains and Waha pools.  Attached are copies of screens from two online trading platforms, EnronOnline™ and IntercontinentalExchange™.  The market and price information shown on the screens illustrates that only El Paso’s Keystone pool is today a liquid market that provides instant price discovery to buyers and sellers.</w:t>
      </w:r>
      <w:r>
        <w:rPr>
          <w:rStyle w:val="FootnoteCharacters"/>
          <w:rStyle w:val="FootnoteReference"/>
        </w:rPr>
        <w:footnoteReference w:id="5"/>
      </w:r>
      <w:r>
        <w:rPr/>
        <w:t xml:space="preserve">  </w:t>
      </w:r>
    </w:p>
    <w:p>
      <w:pPr>
        <w:pStyle w:val="NORMALDOUBLESPACED"/>
        <w:ind w:firstLine="720" w:end="0"/>
        <w:rPr/>
      </w:pPr>
      <w:r>
        <w:rPr/>
        <w:t xml:space="preserve">El Paso nevertheless now proposes to disaggregate these three Permian pools, two of which are already economically irrelevant, into 13 pools. According to the information provided by El Paso at the July 18-19 technical conference, of the 13 Permian pools that El Paso proposes to create, six of them would contain four or fewer receipt points. Eight of the 13 would contain an aggregate maximum receipt quantity of less than 300,000 dt/d.  All eight of those pools would have had a maximum scheduled volume of less than 200,000 dt/d during the 12 months ending February 28, 2001. </w:t>
      </w:r>
    </w:p>
    <w:p>
      <w:pPr>
        <w:pStyle w:val="NORMALDOUBLESPACED"/>
        <w:ind w:firstLine="720" w:end="0"/>
        <w:rPr/>
      </w:pPr>
      <w:r>
        <w:rPr/>
        <w:t>Pools with so few receipt points and such small potential volumes cannot support competitive gas markets with meaningful price transparency.  Indeed, in El Paso’s Study 2, there were no scheduled receipts at any of the three proposed Anadarko pools; five of the 13 proposed Permian pools (Cornudas, Eunice, Goldsmith, Laguna and Puckett) had scheduled receipts of less than 1,000 dt each; and two other Permian pools (Monument and Midkiff) had scheduled receipts of only approximately 12,000 dt and 27,000 dt, respectively.  In other words, 10 of the 20 proposed pools accounted in the aggregate for less than 44,000 dt, or less than 1%, of the total scheduled receipts of more than 5,100,000 dt.</w:t>
      </w:r>
      <w:r>
        <w:rPr>
          <w:rStyle w:val="FootnoteCharacters"/>
          <w:rStyle w:val="FootnoteReference"/>
        </w:rPr>
        <w:footnoteReference w:id="6"/>
      </w:r>
    </w:p>
    <w:p>
      <w:pPr>
        <w:pStyle w:val="NORMALDOUBLESPACED"/>
        <w:ind w:firstLine="720" w:end="0"/>
        <w:rPr/>
      </w:pPr>
      <w:r>
        <w:rPr/>
        <w:t xml:space="preserve">Most of the receipt points in these exceedingly small pools are gas processing plants that have multiple pipeline connections.  The only transactions that can be reasonably expected in such pools will be those involving gas that has no pipeline outlets other than the El Paso system. El Paso shippers that obtain receipt rights at the points connected to such supplies will have monopsony price leverage because there will be no other visible transactions by which a fair market price could be established. Producers’ only choice in such situations will be to take whatever price the sole available buyer dictates, to shut in its production, or to invest in what otherwise would be unnecessary facilities to connect to one or more other pipeline outlets for its gas.  </w:t>
      </w:r>
    </w:p>
    <w:p>
      <w:pPr>
        <w:pStyle w:val="NORMALDOUBLESPACED"/>
        <w:spacing w:lineRule="auto" w:line="240"/>
        <w:ind w:hanging="720" w:start="1440" w:end="0"/>
        <w:rPr>
          <w:b/>
        </w:rPr>
      </w:pPr>
      <w:r>
        <w:rPr>
          <w:b/>
        </w:rPr>
        <w:t>4.</w:t>
        <w:tab/>
        <w:t>El Paso’s Proposal Will Drive Gas Supplies Away From Its Transmission System.</w:t>
      </w:r>
    </w:p>
    <w:p>
      <w:pPr>
        <w:pStyle w:val="NORMALDOUBLESPACED"/>
        <w:spacing w:lineRule="auto" w:line="240"/>
        <w:ind w:hanging="720" w:start="1440" w:end="0"/>
        <w:rPr/>
      </w:pPr>
      <w:r>
        <w:rPr/>
      </w:r>
    </w:p>
    <w:p>
      <w:pPr>
        <w:pStyle w:val="NORMALDOUBLESPACED"/>
        <w:ind w:firstLine="720" w:end="0"/>
        <w:rPr/>
      </w:pPr>
      <w:r>
        <w:rPr/>
        <w:t>The result of disaggregating El Paso’s pools as it proposes will be to induce sellers, particularly those in the Permian Basin, that have multiple pipeline connections to continue to regard the El Paso system only as a market of last resort. The loss of liquidity inherent in El Paso’s disaggregation proposal will mean greater price volatility for gas consumers in California and other markets served by El Paso in the short run and higher prices for consumers in the long run.   The risks inherent in this proposal should not be undertaken in the absence of compelling evidence that disaggregation of the pools is essential to a proposal that would fully resolve the capacity allocation problems on the El Paso system. El Paso has presented neither evidence that disaggregation of pooling is critical to assigning firm receipt rights to customers nor a proposal that addresses the real issues of capacity allocation on its system.</w:t>
      </w:r>
    </w:p>
    <w:p>
      <w:pPr>
        <w:pStyle w:val="NORMALDOUBLESPACED"/>
        <w:keepNext w:val="true"/>
        <w:jc w:val="center"/>
        <w:rPr>
          <w:b/>
        </w:rPr>
      </w:pPr>
      <w:r>
        <w:rPr>
          <w:b/>
        </w:rPr>
        <w:t>CONCLUSION</w:t>
      </w:r>
    </w:p>
    <w:p>
      <w:pPr>
        <w:pStyle w:val="NORMALDOUBLESPACED"/>
        <w:rPr/>
      </w:pPr>
      <w:r>
        <w:rPr/>
        <w:tab/>
        <w:t xml:space="preserve">Wherefore, Richardson urges the Staff to recommend that the Commission reject El Paso’s proposal to fragment its six existing gas pools into 20 pools, regardless of whether the Commission otherwise accepts El Paso’s proposed receipt right allocation procedure.  </w:t>
      </w:r>
    </w:p>
    <w:p>
      <w:pPr>
        <w:pStyle w:val="NORMALDOUBLESPACED"/>
        <w:keepNext w:val="true"/>
        <w:ind w:start="2160" w:end="0"/>
        <w:rPr>
          <w:spacing w:val="-3"/>
        </w:rPr>
      </w:pPr>
      <w:r>
        <w:rPr>
          <w:spacing w:val="-3"/>
        </w:rPr>
        <w:tab/>
        <w:tab/>
        <w:tab/>
        <w:t>Respectfully submitted,</w:t>
      </w:r>
    </w:p>
    <w:p>
      <w:pPr>
        <w:pStyle w:val="Normal"/>
        <w:keepNext w:val="true"/>
        <w:numPr>
          <w:ilvl w:val="0"/>
          <w:numId w:val="0"/>
        </w:numPr>
        <w:tabs>
          <w:tab w:val="clear" w:pos="720"/>
          <w:tab w:val="left" w:pos="-720" w:leader="none"/>
        </w:tabs>
        <w:suppressAutoHyphens w:val="true"/>
        <w:outlineLvl w:val="0"/>
        <w:rPr>
          <w:spacing w:val="-3"/>
        </w:rPr>
      </w:pPr>
      <w:r>
        <w:rPr>
          <w:spacing w:val="-3"/>
        </w:rPr>
        <w:tab/>
        <w:tab/>
        <w:tab/>
        <w:tab/>
        <w:tab/>
        <w:tab/>
        <w:t>WRIGHT &amp; TALISMAN, P.C.</w:t>
      </w:r>
    </w:p>
    <w:p>
      <w:pPr>
        <w:pStyle w:val="Normal"/>
        <w:keepNext w:val="true"/>
        <w:tabs>
          <w:tab w:val="clear" w:pos="720"/>
          <w:tab w:val="left" w:pos="-720" w:leader="none"/>
        </w:tabs>
        <w:suppressAutoHyphens w:val="true"/>
        <w:rPr>
          <w:spacing w:val="-3"/>
        </w:rPr>
      </w:pPr>
      <w:r>
        <w:rPr>
          <w:spacing w:val="-3"/>
        </w:rPr>
      </w:r>
    </w:p>
    <w:p>
      <w:pPr>
        <w:pStyle w:val="Normal"/>
        <w:keepNext w:val="true"/>
        <w:tabs>
          <w:tab w:val="clear" w:pos="720"/>
          <w:tab w:val="left" w:pos="-720" w:leader="none"/>
        </w:tabs>
        <w:suppressAutoHyphens w:val="true"/>
        <w:rPr>
          <w:spacing w:val="-3"/>
        </w:rPr>
      </w:pPr>
      <w:r>
        <w:rPr>
          <w:spacing w:val="-3"/>
        </w:rPr>
      </w:r>
    </w:p>
    <w:p>
      <w:pPr>
        <w:pStyle w:val="Normal"/>
        <w:keepNext w:val="true"/>
        <w:tabs>
          <w:tab w:val="clear" w:pos="720"/>
          <w:tab w:val="left" w:pos="-720" w:leader="none"/>
        </w:tabs>
        <w:suppressAutoHyphens w:val="true"/>
        <w:rPr>
          <w:spacing w:val="-3"/>
        </w:rPr>
      </w:pPr>
      <w:r>
        <w:rPr>
          <w:spacing w:val="-3"/>
        </w:rPr>
        <w:tab/>
        <w:tab/>
        <w:tab/>
        <w:tab/>
        <w:tab/>
        <w:tab/>
        <w:t>________________________</w:t>
      </w:r>
    </w:p>
    <w:p>
      <w:pPr>
        <w:pStyle w:val="Normal"/>
        <w:keepNext w:val="true"/>
        <w:tabs>
          <w:tab w:val="clear" w:pos="720"/>
          <w:tab w:val="left" w:pos="-720" w:leader="none"/>
        </w:tabs>
        <w:suppressAutoHyphens w:val="true"/>
        <w:rPr>
          <w:spacing w:val="-3"/>
        </w:rPr>
      </w:pPr>
      <w:r>
        <w:rPr>
          <w:spacing w:val="-3"/>
        </w:rPr>
        <w:tab/>
        <w:tab/>
        <w:tab/>
        <w:tab/>
        <w:tab/>
        <w:tab/>
        <w:t>Joseph S. Koury</w:t>
      </w:r>
    </w:p>
    <w:p>
      <w:pPr>
        <w:pStyle w:val="Normal"/>
        <w:keepNext w:val="true"/>
        <w:tabs>
          <w:tab w:val="clear" w:pos="720"/>
          <w:tab w:val="left" w:pos="-720" w:leader="none"/>
        </w:tabs>
        <w:suppressAutoHyphens w:val="true"/>
        <w:rPr>
          <w:spacing w:val="-3"/>
        </w:rPr>
      </w:pPr>
      <w:r>
        <w:rPr>
          <w:spacing w:val="-3"/>
        </w:rPr>
        <w:tab/>
        <w:tab/>
        <w:tab/>
        <w:tab/>
        <w:tab/>
        <w:tab/>
        <w:t>Michael J. Thompson</w:t>
      </w:r>
    </w:p>
    <w:p>
      <w:pPr>
        <w:pStyle w:val="Normal"/>
        <w:keepNext w:val="true"/>
        <w:suppressAutoHyphens w:val="true"/>
        <w:rPr>
          <w:spacing w:val="-3"/>
        </w:rPr>
      </w:pPr>
      <w:r>
        <w:rPr>
          <w:spacing w:val="-3"/>
        </w:rPr>
        <w:tab/>
        <w:tab/>
        <w:tab/>
        <w:tab/>
        <w:tab/>
        <w:tab/>
        <w:t>1200 G Street, N.W., Suite 600</w:t>
      </w:r>
    </w:p>
    <w:p>
      <w:pPr>
        <w:pStyle w:val="Normal"/>
        <w:keepNext w:val="true"/>
        <w:suppressAutoHyphens w:val="true"/>
        <w:ind w:firstLine="720" w:start="1440" w:end="0"/>
        <w:rPr>
          <w:spacing w:val="-3"/>
        </w:rPr>
      </w:pPr>
      <w:r>
        <w:rPr>
          <w:spacing w:val="-3"/>
        </w:rPr>
        <w:tab/>
        <w:tab/>
        <w:tab/>
        <w:t>Washington, D.C. 20005</w:t>
      </w:r>
    </w:p>
    <w:p>
      <w:pPr>
        <w:pStyle w:val="Normal"/>
        <w:keepNext w:val="true"/>
        <w:suppressAutoHyphens w:val="true"/>
        <w:ind w:firstLine="720" w:start="720" w:end="0"/>
        <w:rPr>
          <w:spacing w:val="-3"/>
        </w:rPr>
      </w:pPr>
      <w:r>
        <w:rPr>
          <w:spacing w:val="-3"/>
        </w:rPr>
        <w:tab/>
        <w:tab/>
        <w:tab/>
        <w:tab/>
        <w:t>(202) 393-1200</w:t>
      </w:r>
    </w:p>
    <w:p>
      <w:pPr>
        <w:pStyle w:val="Normal"/>
        <w:keepNext w:val="true"/>
        <w:suppressAutoHyphens w:val="true"/>
        <w:rPr>
          <w:spacing w:val="-3"/>
        </w:rPr>
      </w:pPr>
      <w:r>
        <w:rPr>
          <w:spacing w:val="-3"/>
        </w:rPr>
      </w:r>
    </w:p>
    <w:p>
      <w:pPr>
        <w:pStyle w:val="Normal"/>
        <w:numPr>
          <w:ilvl w:val="0"/>
          <w:numId w:val="0"/>
        </w:numPr>
        <w:tabs>
          <w:tab w:val="clear" w:pos="720"/>
          <w:tab w:val="center" w:pos="4320" w:leader="none"/>
        </w:tabs>
        <w:suppressAutoHyphens w:val="true"/>
        <w:outlineLvl w:val="0"/>
        <w:rPr>
          <w:spacing w:val="-3"/>
        </w:rPr>
      </w:pPr>
      <w:r>
        <w:rPr>
          <w:b/>
          <w:spacing w:val="-3"/>
        </w:rPr>
        <w:tab/>
        <w:t xml:space="preserve">Attorneys for </w:t>
      </w:r>
    </w:p>
    <w:p>
      <w:pPr>
        <w:pStyle w:val="NORMALDOUBLESPACED"/>
        <w:spacing w:lineRule="auto" w:line="240"/>
        <w:jc w:val="center"/>
        <w:rPr>
          <w:b/>
        </w:rPr>
      </w:pPr>
      <w:r>
        <w:rPr>
          <w:b/>
        </w:rPr>
        <w:t xml:space="preserve">Sid Richardson Energy Services Co., </w:t>
      </w:r>
    </w:p>
    <w:p>
      <w:pPr>
        <w:pStyle w:val="NORMALDOUBLESPACED"/>
        <w:spacing w:lineRule="auto" w:line="240"/>
        <w:jc w:val="center"/>
        <w:rPr>
          <w:b/>
        </w:rPr>
      </w:pPr>
      <w:r>
        <w:rPr>
          <w:b/>
        </w:rPr>
        <w:t xml:space="preserve">Sid Richardson Pipeline, Ltd. and </w:t>
      </w:r>
    </w:p>
    <w:p>
      <w:pPr>
        <w:pStyle w:val="NORMALDOUBLESPACED"/>
        <w:spacing w:lineRule="auto" w:line="240"/>
        <w:jc w:val="center"/>
        <w:rPr>
          <w:b/>
        </w:rPr>
      </w:pPr>
      <w:r>
        <w:rPr>
          <w:b/>
        </w:rPr>
        <w:t>Richardson Energy Marketing, Ltd.</w:t>
      </w:r>
    </w:p>
    <w:p>
      <w:pPr>
        <w:pStyle w:val="NORMALDOUBLESPACED"/>
        <w:spacing w:lineRule="auto" w:line="240"/>
        <w:jc w:val="start"/>
        <w:rPr>
          <w:spacing w:val="-3"/>
        </w:rPr>
      </w:pPr>
      <w:r>
        <w:rPr>
          <w:spacing w:val="-3"/>
        </w:rPr>
        <w:t>October 15, 2001</w:t>
      </w:r>
    </w:p>
    <w:p>
      <w:pPr>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440" w:footer="720" w:bottom="1440"/>
          <w:pgNumType w:start="1" w:fmt="decimal"/>
          <w:formProt w:val="false"/>
          <w:titlePg/>
          <w:textDirection w:val="lrTb"/>
          <w:docGrid w:type="default" w:linePitch="360" w:charSpace="0"/>
        </w:sectPr>
        <w:pStyle w:val="NORMALDOUBLESPACED"/>
        <w:spacing w:lineRule="auto" w:line="240"/>
        <w:jc w:val="start"/>
        <w:rPr>
          <w:sz w:val="16"/>
        </w:rPr>
      </w:pPr>
      <w:r>
        <w:rPr>
          <w:sz w:val="16"/>
          <w:lang w:eastAsia="en-US"/>
        </w:rPr>
        <w:t>k:\richardson\1001-002-735</w:t>
      </w:r>
    </w:p>
    <w:p>
      <w:pPr>
        <w:pStyle w:val="Normal"/>
        <w:spacing w:lineRule="auto" w:line="480"/>
        <w:jc w:val="center"/>
        <w:rPr>
          <w:b/>
        </w:rPr>
      </w:pPr>
      <w:r>
        <w:rPr>
          <w:b/>
        </w:rPr>
        <w:t>CERTIFICATE OF SERVICE</w:t>
      </w:r>
    </w:p>
    <w:p>
      <w:pPr>
        <w:pStyle w:val="Normal"/>
        <w:spacing w:lineRule="auto" w:line="480"/>
        <w:rPr/>
      </w:pPr>
      <w:r>
        <w:rPr/>
        <w:tab/>
        <w:t>I hereby certify that I have this day served the foregoing document upon each person designated on the official service list compiled by the Secretary in this proceeding.</w:t>
      </w:r>
    </w:p>
    <w:p>
      <w:pPr>
        <w:pStyle w:val="Normal"/>
        <w:spacing w:lineRule="auto" w:line="480"/>
        <w:rPr/>
      </w:pPr>
      <w:r>
        <w:rPr/>
        <w:tab/>
        <w:t>Dated at Washington, D.C. this 15th day of October, 2001.</w:t>
      </w:r>
    </w:p>
    <w:p>
      <w:pPr>
        <w:pStyle w:val="Normal"/>
        <w:spacing w:lineRule="auto" w:line="480"/>
        <w:rPr/>
      </w:pPr>
      <w:r>
        <w:rPr/>
      </w:r>
    </w:p>
    <w:p>
      <w:pPr>
        <w:pStyle w:val="Normal"/>
        <w:rPr/>
      </w:pPr>
      <w:r>
        <w:rPr/>
        <w:tab/>
        <w:tab/>
        <w:tab/>
        <w:tab/>
        <w:tab/>
        <w:t>_____________________________________</w:t>
      </w:r>
    </w:p>
    <w:p>
      <w:pPr>
        <w:pStyle w:val="Normal"/>
        <w:rPr/>
      </w:pPr>
      <w:r>
        <w:rPr/>
        <w:tab/>
        <w:tab/>
        <w:tab/>
        <w:tab/>
        <w:tab/>
        <w:tab/>
        <w:t xml:space="preserve">Joseph S. Koury </w:t>
      </w:r>
    </w:p>
    <w:p>
      <w:pPr>
        <w:pStyle w:val="Normal"/>
        <w:rPr/>
      </w:pPr>
      <w:r>
        <w:rPr/>
      </w:r>
    </w:p>
    <w:p>
      <w:pPr>
        <w:pStyle w:val="Normal"/>
        <w:rPr/>
      </w:pPr>
      <w:r>
        <w:rPr/>
        <w:tab/>
        <w:tab/>
        <w:tab/>
        <w:tab/>
        <w:tab/>
        <w:tab/>
        <w:t>WRIGHT &amp; TALISMAN, P.C.</w:t>
      </w:r>
    </w:p>
    <w:p>
      <w:pPr>
        <w:pStyle w:val="Normal"/>
        <w:rPr/>
      </w:pPr>
      <w:r>
        <w:rPr/>
        <w:tab/>
        <w:tab/>
        <w:tab/>
        <w:tab/>
        <w:tab/>
        <w:tab/>
        <w:t>1200 G Street, N.W., Suite 600</w:t>
      </w:r>
    </w:p>
    <w:p>
      <w:pPr>
        <w:pStyle w:val="Normal"/>
        <w:rPr/>
      </w:pPr>
      <w:r>
        <w:rPr/>
        <w:tab/>
        <w:tab/>
        <w:tab/>
        <w:tab/>
        <w:tab/>
        <w:tab/>
        <w:t>Washington, D.C.  20005</w:t>
      </w:r>
    </w:p>
    <w:p>
      <w:pPr>
        <w:pStyle w:val="Normal"/>
        <w:rPr/>
      </w:pPr>
      <w:r>
        <w:rPr/>
        <w:tab/>
        <w:tab/>
        <w:tab/>
        <w:tab/>
        <w:tab/>
        <w:tab/>
        <w:t>(202) 393-1200</w:t>
      </w:r>
    </w:p>
    <w:p>
      <w:pPr>
        <w:pStyle w:val="Normal"/>
        <w:rPr/>
      </w:pPr>
      <w:r>
        <w:rPr/>
      </w:r>
    </w:p>
    <w:p>
      <w:pPr>
        <w:pStyle w:val="Normal"/>
        <w:rPr/>
      </w:pPr>
      <w:r>
        <w:rPr/>
      </w:r>
    </w:p>
    <w:p>
      <w:pPr>
        <w:pStyle w:val="Normal"/>
        <w:rPr/>
      </w:pPr>
      <w:r>
        <w:rPr/>
        <w:t>Counsel for</w:t>
      </w:r>
    </w:p>
    <w:p>
      <w:pPr>
        <w:pStyle w:val="Normal"/>
        <w:rPr/>
      </w:pPr>
      <w:r>
        <w:rPr/>
      </w:r>
    </w:p>
    <w:p>
      <w:pPr>
        <w:pStyle w:val="Normal"/>
        <w:rPr/>
      </w:pPr>
      <w:r>
        <w:rPr/>
        <w:t xml:space="preserve">Sid Richardson Energy Services Co., </w:t>
      </w:r>
    </w:p>
    <w:p>
      <w:pPr>
        <w:pStyle w:val="Normal"/>
        <w:rPr/>
      </w:pPr>
      <w:r>
        <w:rPr/>
        <w:t xml:space="preserve">Sid Richardson Pipeline, Ltd., and </w:t>
      </w:r>
    </w:p>
    <w:p>
      <w:pPr>
        <w:pStyle w:val="Normal"/>
        <w:rPr/>
      </w:pPr>
      <w:r>
        <w:rPr/>
        <w:t>Richardson Energy Marketing, Ltd.</w:t>
      </w:r>
    </w:p>
    <w:sectPr>
      <w:headerReference w:type="default" r:id="rId6"/>
      <w:headerReference w:type="first" r:id="rId7"/>
      <w:footerReference w:type="default" r:id="rId8"/>
      <w:footerReference w:type="first" r:id="rId9"/>
      <w:footnotePr>
        <w:numFmt w:val="decimal"/>
      </w:footnotePr>
      <w:type w:val="nextPage"/>
      <w:pgSz w:w="12240" w:h="15840"/>
      <w:pgMar w:left="216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r>
      <w:r>
        <w:rPr>
          <w:u w:val="single"/>
        </w:rPr>
        <w:t>Amoco Energy Trading Co. v. El Paso Natural Gas Co.</w:t>
      </w:r>
      <w:r>
        <w:rPr/>
        <w:t>, 94 FERC ¶ 61,225, at 61,824 (2001).</w:t>
      </w:r>
    </w:p>
  </w:footnote>
  <w:footnote w:id="3">
    <w:p>
      <w:pPr>
        <w:pStyle w:val="FootnoteText"/>
        <w:spacing w:before="0" w:after="240"/>
        <w:ind w:hanging="720" w:start="720" w:end="0"/>
        <w:rPr/>
      </w:pPr>
      <w:r>
        <w:rPr>
          <w:rStyle w:val="FootnoteCharacters"/>
        </w:rPr>
        <w:footnoteRef/>
      </w:r>
      <w:r>
        <w:rPr/>
        <w:t xml:space="preserve"> </w:t>
      </w:r>
      <w:r>
        <w:rPr/>
        <w:tab/>
        <w:t>These firm shippers are commonly referred to as “contract demand,” or “CD,” shippers. Other of El Paso’s firm transportation customers, primarily customers located east of California, have “full requirements” (“FR”) contracts that state no limitation on the daily quantity that the customer may take.</w:t>
      </w:r>
    </w:p>
  </w:footnote>
  <w:footnote w:id="4">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18 C.F.R. 284.12(b)(1)(i) (1997), Nominations Related Standards 1.3.17 and 1.3.18.  </w:t>
      </w:r>
      <w:r>
        <w:rPr>
          <w:u w:val="single"/>
        </w:rPr>
        <w:t>See also</w:t>
      </w:r>
      <w:r>
        <w:rPr/>
        <w:t xml:space="preserve"> Standards For Business Practices Of Interstate Natural Gas Pipelines, Order No. 587-G, 63 FR 20072, 20088-20090 (Apr. 23, 1998), III FERC Stats. &amp; Regs. Regulations Preambles 31,062, at 30,690-93 (Apr. 16, 1998).</w:t>
      </w:r>
    </w:p>
  </w:footnote>
  <w:footnote w:id="5">
    <w:p>
      <w:pPr>
        <w:pStyle w:val="FootnoteText"/>
        <w:spacing w:before="0" w:after="240"/>
        <w:ind w:hanging="720" w:start="720" w:end="0"/>
        <w:rPr/>
      </w:pPr>
      <w:r>
        <w:rPr>
          <w:rStyle w:val="FootnoteCharacters"/>
        </w:rPr>
        <w:footnoteRef/>
      </w:r>
      <w:r>
        <w:rPr/>
        <w:t xml:space="preserve"> </w:t>
      </w:r>
      <w:r>
        <w:rPr/>
        <w:tab/>
        <w:t>El Paso pools are denoted by the prefix “EPNG” on the EnronOnLine™ screen and by the prefix “EP” on the IntercontinentalExchange™ screen. Only Keystone appears on each screen with such a prefix. Staff and the parties should note that the “Waha” points shown on the screens do not refer to the El Paso Waha pool.  Instead, they refer to the Waha hub in west Texas.</w:t>
      </w:r>
    </w:p>
  </w:footnote>
  <w:footnote w:id="6">
    <w:p>
      <w:pPr>
        <w:pStyle w:val="FootnoteText"/>
        <w:rPr/>
      </w:pPr>
      <w:r>
        <w:rPr>
          <w:rStyle w:val="FootnoteCharacters"/>
        </w:rPr>
        <w:footnoteRef/>
      </w:r>
      <w:r>
        <w:rPr/>
        <w:t xml:space="preserve"> </w:t>
      </w:r>
      <w:r>
        <w:rPr/>
        <w:tab/>
        <w:t>The data discussed in this paragraph are derived from the sheet entitled “Study 2 Delv Dth By Location” in El Paso’s spreadsheet file called “Cap Studies 9-24-01.xls.”</w:t>
      </w:r>
    </w:p>
    <w:p>
      <w:pPr>
        <w:pStyle w:val="FootnoteText"/>
        <w:spacing w:before="0" w:after="240"/>
        <w:ind w:hanging="720" w:start="720" w:end="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10/11/01</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10/11/01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10/11/01</w:t>
    </w:r>
  </w:p>
  <w:p>
    <w:pPr>
      <w:pStyle w:val="Header"/>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10/11/01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WW8Num1z0">
    <w:name w:val="WW8Num1z0"/>
    <w:qFormat/>
    <w:rPr>
      <w:b/>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PageNumber">
    <w:name w:val="page number"/>
    <w:rPr>
      <w:rFonts w:ascii="Times New Roman" w:hAnsi="Times New Roman" w:c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spacing w:before="0" w:after="240"/>
      <w:ind w:hanging="0" w:start="0" w:end="720"/>
    </w:pPr>
    <w:rPr>
      <w:caps/>
    </w:rPr>
  </w:style>
  <w:style w:type="paragraph" w:styleId="TOC2">
    <w:name w:val="toc 2"/>
    <w:basedOn w:val="Normal"/>
    <w:next w:val="Normal"/>
    <w:pPr>
      <w:spacing w:before="0" w:after="240"/>
      <w:ind w:hanging="720" w:start="1440" w:end="720"/>
    </w:pPr>
    <w:rPr/>
  </w:style>
  <w:style w:type="paragraph" w:styleId="TOC3">
    <w:name w:val="toc 3"/>
    <w:basedOn w:val="Normal"/>
    <w:next w:val="Normal"/>
    <w:pPr>
      <w:spacing w:before="0" w:after="240"/>
      <w:ind w:hanging="720" w:start="2160" w:end="720"/>
    </w:pPr>
    <w:rPr/>
  </w:style>
  <w:style w:type="paragraph" w:styleId="TOC4">
    <w:name w:val="toc 4"/>
    <w:basedOn w:val="Normal"/>
    <w:next w:val="Normal"/>
    <w:pPr>
      <w:spacing w:before="0" w:after="240"/>
      <w:ind w:hanging="720" w:start="2880" w:end="720"/>
    </w:pPr>
    <w:rPr/>
  </w:style>
  <w:style w:type="paragraph" w:styleId="TOC5">
    <w:name w:val="toc 5"/>
    <w:basedOn w:val="Normal"/>
    <w:next w:val="Normal"/>
    <w:pPr>
      <w:spacing w:before="0" w:after="240"/>
      <w:ind w:hanging="720" w:start="3600" w:end="720"/>
    </w:pPr>
    <w:rPr/>
  </w:style>
  <w:style w:type="paragraph" w:styleId="TOC6">
    <w:name w:val="toc 6"/>
    <w:basedOn w:val="Normal"/>
    <w:next w:val="Normal"/>
    <w:pPr>
      <w:spacing w:before="0" w:after="240"/>
      <w:ind w:hanging="720" w:start="4320" w:end="720"/>
    </w:pPr>
    <w:rPr/>
  </w:style>
  <w:style w:type="paragraph" w:styleId="TOC7">
    <w:name w:val="toc 7"/>
    <w:basedOn w:val="Normal"/>
    <w:next w:val="Normal"/>
    <w:pPr>
      <w:spacing w:before="0" w:after="240"/>
      <w:ind w:hanging="720" w:start="5040" w:end="720"/>
    </w:pPr>
    <w:rPr/>
  </w:style>
  <w:style w:type="paragraph" w:styleId="TOC8">
    <w:name w:val="toc 8"/>
    <w:basedOn w:val="Normal"/>
    <w:next w:val="Normal"/>
    <w:pPr>
      <w:spacing w:before="0" w:after="240"/>
      <w:ind w:hanging="720" w:start="5760" w:end="720"/>
    </w:pPr>
    <w:rPr/>
  </w:style>
  <w:style w:type="paragraph" w:styleId="TOC9">
    <w:name w:val="toc 9"/>
    <w:basedOn w:val="Normal"/>
    <w:next w:val="Normal"/>
    <w:pPr>
      <w:spacing w:before="0" w:after="240"/>
      <w:ind w:hanging="720" w:start="6480" w:end="720"/>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FERC PLEADING.dot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2001-10-10T16:29:00Z</dcterms:created>
  <dc:creator>Stephanie Stevenson</dc:creator>
  <dc:description/>
  <dc:language>en-CA</dc:language>
  <cp:lastModifiedBy>Amelia Rivera</cp:lastModifiedBy>
  <cp:lastPrinted>2001-10-11T11:40:00Z</cp:lastPrinted>
  <dcterms:modified xsi:type="dcterms:W3CDTF">2001-10-11T17:01:00Z</dcterms:modified>
  <cp:revision>36</cp:revision>
  <dc:subject/>
  <dc:title>UNITED STATES OF AMERICA</dc:title>
</cp:coreProperties>
</file>