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rPr>
          <w:b/>
        </w:rPr>
      </w:pPr>
      <w:r>
        <w:rPr>
          <w:b/>
        </w:rPr>
        <w:t>Investigation on the Commission’s Own Motion  )</w:t>
      </w:r>
    </w:p>
    <w:p>
      <w:pPr>
        <w:pStyle w:val="BodyText"/>
        <w:rPr>
          <w:b/>
        </w:rPr>
      </w:pPr>
      <w:r>
        <w:rPr>
          <w:b/>
        </w:rPr>
        <w:t>To Consider the Costs and Benefits of Various ) I.99-07-003</w:t>
      </w:r>
    </w:p>
    <w:p>
      <w:pPr>
        <w:pStyle w:val="BodyText"/>
        <w:rPr>
          <w:b/>
        </w:rPr>
      </w:pPr>
      <w:r>
        <w:rPr>
          <w:b/>
        </w:rPr>
        <w:t>Promising Revisions to the Regulatory and     )</w:t>
      </w:r>
    </w:p>
    <w:p>
      <w:pPr>
        <w:pStyle w:val="BodyText"/>
        <w:rPr>
          <w:b/>
        </w:rPr>
      </w:pPr>
      <w:r>
        <w:rPr>
          <w:b/>
        </w:rPr>
        <w:t>Market Structure Governing California’s       )</w:t>
      </w:r>
    </w:p>
    <w:p>
      <w:pPr>
        <w:pStyle w:val="BodyText"/>
        <w:rPr>
          <w:b/>
        </w:rPr>
      </w:pPr>
      <w:r>
        <w:rPr>
          <w:b/>
        </w:rPr>
        <w:t>Natural Gas Industry and to Report to the     )</w:t>
      </w:r>
    </w:p>
    <w:p>
      <w:pPr>
        <w:pStyle w:val="BodyText"/>
        <w:rPr>
          <w:b/>
        </w:rPr>
      </w:pPr>
      <w:r>
        <w:rPr>
          <w:b/>
        </w:rPr>
        <w:t>California Legislature on the Commission’s    )</w:t>
      </w:r>
    </w:p>
    <w:p>
      <w:pPr>
        <w:pStyle w:val="BodyText"/>
        <w:rPr>
          <w:b/>
        </w:rPr>
      </w:pPr>
      <w:r>
        <w:rPr>
          <w:b/>
        </w:rPr>
        <w:t>Findings                                      )</w:t>
      </w:r>
    </w:p>
    <w:p>
      <w:pPr>
        <w:pStyle w:val="BodyText"/>
        <w:rPr>
          <w:b/>
        </w:rPr>
      </w:pPr>
      <w:r>
        <w:rPr>
          <w:b/>
        </w:rPr>
        <w:t>______________________________________________)</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MOTION FOR APPROVAL OF SETTLEMENT</w:t>
      </w:r>
    </w:p>
    <w:p>
      <w:pPr>
        <w:pStyle w:val="Normal"/>
        <w:jc w:val="center"/>
        <w:rPr>
          <w:b/>
        </w:rPr>
      </w:pPr>
      <w:r>
        <w:rPr>
          <w:b/>
        </w:rPr>
      </w:r>
    </w:p>
    <w:p>
      <w:pPr>
        <w:pStyle w:val="Normal"/>
        <w:jc w:val="center"/>
        <w:rPr/>
      </w:pPr>
      <w:r>
        <w:rPr/>
      </w:r>
    </w:p>
    <w:p>
      <w:pPr>
        <w:pStyle w:val="Normal"/>
        <w:spacing w:lineRule="auto" w:line="360"/>
        <w:rPr/>
      </w:pPr>
      <w:r>
        <w:rPr/>
        <w:tab/>
        <w:tab/>
        <w:t>Pursuant to Rule 51.1, 51.2, 51.3, and 45, and ALJ Biren’s ruling at the Prehearing Conference on April 11, 2000, the parties listed below hereby request that the Commission approve the “Comprehensive Gas OII Settlement Agreement for Southern California Gas Company and San Diego Gas &amp; Electric Company” attached hereto and referred to herein as the “Comprehensive Settlement”.</w:t>
      </w:r>
    </w:p>
    <w:p>
      <w:pPr>
        <w:pStyle w:val="FootnoteText"/>
        <w:spacing w:lineRule="auto" w:line="360"/>
        <w:rPr>
          <w:sz w:val="24"/>
        </w:rPr>
      </w:pPr>
      <w:r>
        <w:rPr>
          <w:sz w:val="24"/>
        </w:rPr>
        <w:tab/>
        <w:tab/>
        <w:t>The parties to the Comprehensive Settlement have reached agreement on a settlement in full detail as applied to SoCalGas and SDG&amp;E adopting and implementing essentially all of the promising options identified by the Commission in D.99-07-015.</w:t>
      </w:r>
    </w:p>
    <w:p>
      <w:pPr>
        <w:pStyle w:val="Normal"/>
        <w:spacing w:lineRule="auto" w:line="360"/>
        <w:rPr/>
      </w:pPr>
      <w:r>
        <w:rPr/>
        <w:tab/>
        <w:tab/>
        <w:t>The Comprehensive Settlement implements not only promising “capacity” options such as intrastate backbone transmission rights, storage, and balancing unbundling for SoCalGas, but also core interstate capacity unbundling for SoCalGas and “retail” issues for SoCalGas and SDG&amp;E.  It implements the options for a period of approximately 5 years, comparable to the length of the PG&amp;E Gas Accord.</w:t>
      </w:r>
    </w:p>
    <w:p>
      <w:pPr>
        <w:pStyle w:val="Normal"/>
        <w:spacing w:lineRule="auto" w:line="360"/>
        <w:rPr/>
      </w:pPr>
      <w:r>
        <w:rPr/>
        <w:tab/>
        <w:tab/>
        <w:t>The provisions of the Comprehensive Settlement are extremely similar to those adopted for PG&amp;E in the Gas Accord and OFO settlement and in the PG&amp;E January 28, 2000 settlement awaiting Commission approval.  The Comprehensive Settlement would accomplish the Commission’s desire for statewide consistency.</w:t>
      </w:r>
    </w:p>
    <w:p>
      <w:pPr>
        <w:pStyle w:val="Normal"/>
        <w:spacing w:lineRule="auto" w:line="360"/>
        <w:rPr/>
      </w:pPr>
      <w:r>
        <w:rPr/>
        <w:tab/>
        <w:tab/>
        <w:t xml:space="preserve">The Comprehensive Settlement is arranged according to the Promising Options as shown in Appendix C to D.99-07-015, and references the passages in that decision to which the Comprehensive Settlement responds.  The format of the Comprehensive Settlement is very comparable to the January 28, 2000 settlement for PG&amp;E.  </w:t>
      </w:r>
    </w:p>
    <w:p>
      <w:pPr>
        <w:pStyle w:val="Normal"/>
        <w:spacing w:lineRule="auto" w:line="360"/>
        <w:rPr/>
      </w:pPr>
      <w:r>
        <w:rPr/>
        <w:tab/>
        <w:tab/>
        <w:t xml:space="preserve">Also attached to this motion are declarations from a number of the signatories to the Comprehensive Settlement setting forth the reasons that they believe it is in the public interest, consistent with Commission policy direction, and promotes statewide consistency.  </w:t>
      </w:r>
    </w:p>
    <w:p>
      <w:pPr>
        <w:pStyle w:val="FootnoteText"/>
        <w:spacing w:lineRule="auto" w:line="360"/>
        <w:rPr>
          <w:sz w:val="24"/>
        </w:rPr>
      </w:pPr>
      <w:r>
        <w:rPr>
          <w:sz w:val="24"/>
        </w:rPr>
        <w:tab/>
        <w:tab/>
        <w:t>Some signatories to the Comprehensive Settlement were signatories to the “Interim Settlement” filed December 27, 1999.  These parties remain willing to accept the Interim Settlement if it is acceptable to the Commission.  The Comprehensive Settlement adopts a number of features from the Interim Settlement.  However, the Comprehensive Settlement resolves far more options that the Commission found promising in D.99-07-015 and is more consistent with the totality of the Commission’s promising options.</w:t>
      </w:r>
    </w:p>
    <w:p>
      <w:pPr>
        <w:pStyle w:val="Normal"/>
        <w:spacing w:lineRule="auto" w:line="360"/>
        <w:rPr/>
      </w:pPr>
      <w:r>
        <w:rPr/>
        <w:tab/>
        <w:tab/>
        <w:t>The Comprehensive Settlement is supported by a large number of parties representative of all interests in this proceeding, including utilities, core and noncore customers, electric generators, wholesale customers, the Office of Ratepayer Advocates, gas marketers in the core and noncore markets, gas producers, competitive gas storage providers, and interstate pipelines.  The parties to the Comprehensive Settlement are:</w:t>
      </w:r>
    </w:p>
    <w:p>
      <w:pPr>
        <w:pStyle w:val="Normal"/>
        <w:rPr/>
      </w:pPr>
      <w:r>
        <w:rPr/>
      </w:r>
    </w:p>
    <w:p>
      <w:pPr>
        <w:pStyle w:val="Normal"/>
        <w:rPr/>
      </w:pPr>
      <w:r>
        <w:rPr/>
        <w:t>California Industrial Group</w:t>
      </w:r>
    </w:p>
    <w:p>
      <w:pPr>
        <w:pStyle w:val="Normal"/>
        <w:rPr/>
      </w:pPr>
      <w:r>
        <w:rPr/>
        <w:t>California Manufacturers and Technology Association</w:t>
      </w:r>
    </w:p>
    <w:p>
      <w:pPr>
        <w:pStyle w:val="Normal"/>
        <w:rPr/>
      </w:pPr>
      <w:r>
        <w:rPr/>
        <w:t>California Utility Buyers</w:t>
      </w:r>
    </w:p>
    <w:p>
      <w:pPr>
        <w:pStyle w:val="Normal"/>
        <w:rPr/>
      </w:pPr>
      <w:r>
        <w:rPr/>
        <w:t>Calpine Corporation</w:t>
      </w:r>
    </w:p>
    <w:p>
      <w:pPr>
        <w:pStyle w:val="Normal"/>
        <w:rPr/>
      </w:pPr>
      <w:r>
        <w:rPr/>
        <w:t>City of Vernon</w:t>
      </w:r>
    </w:p>
    <w:p>
      <w:pPr>
        <w:pStyle w:val="Footer"/>
        <w:tabs>
          <w:tab w:val="clear" w:pos="4320"/>
          <w:tab w:val="clear" w:pos="8640"/>
        </w:tabs>
        <w:rPr/>
      </w:pPr>
      <w:r>
        <w:rPr/>
        <w:t>Coral Energy Resources</w:t>
      </w:r>
    </w:p>
    <w:p>
      <w:pPr>
        <w:pStyle w:val="Normal"/>
        <w:rPr/>
      </w:pPr>
      <w:r>
        <w:rPr/>
        <w:t>Dynegy, Inc.</w:t>
      </w:r>
    </w:p>
    <w:p>
      <w:pPr>
        <w:pStyle w:val="Normal"/>
        <w:rPr/>
      </w:pPr>
      <w:r>
        <w:rPr/>
        <w:t>Enron, Inc.</w:t>
      </w:r>
    </w:p>
    <w:p>
      <w:pPr>
        <w:pStyle w:val="Normal"/>
        <w:rPr/>
      </w:pPr>
      <w:r>
        <w:rPr/>
        <w:t>GreenMountain.com</w:t>
      </w:r>
    </w:p>
    <w:p>
      <w:pPr>
        <w:pStyle w:val="Subtitle"/>
        <w:rPr>
          <w:rFonts w:ascii="Courier New" w:hAnsi="Courier New" w:cs="Courier New"/>
        </w:rPr>
      </w:pPr>
      <w:r>
        <w:rPr>
          <w:rFonts w:cs="Courier New" w:ascii="Courier New" w:hAnsi="Courier New"/>
        </w:rPr>
        <w:t>Indicated Producers, the members of which are:</w:t>
      </w:r>
    </w:p>
    <w:p>
      <w:pPr>
        <w:pStyle w:val="Subtitle"/>
        <w:ind w:start="720" w:end="0"/>
        <w:rPr>
          <w:rFonts w:ascii="Courier New" w:hAnsi="Courier New" w:cs="Courier New"/>
        </w:rPr>
      </w:pPr>
      <w:r>
        <w:rPr>
          <w:rFonts w:cs="Courier New" w:ascii="Courier New" w:hAnsi="Courier New"/>
        </w:rPr>
        <w:t>Amoco Energy Trading Company</w:t>
      </w:r>
    </w:p>
    <w:p>
      <w:pPr>
        <w:pStyle w:val="Normal"/>
        <w:ind w:start="720" w:end="0"/>
        <w:rPr/>
      </w:pPr>
      <w:r>
        <w:rPr/>
        <w:t>BP Amoco Corporation</w:t>
      </w:r>
    </w:p>
    <w:p>
      <w:pPr>
        <w:pStyle w:val="Normal"/>
        <w:ind w:start="720" w:end="0"/>
        <w:rPr/>
      </w:pPr>
      <w:r>
        <w:rPr/>
        <w:t>Burlington Resources</w:t>
      </w:r>
    </w:p>
    <w:p>
      <w:pPr>
        <w:pStyle w:val="Normal"/>
        <w:ind w:firstLine="720" w:end="0"/>
        <w:rPr/>
      </w:pPr>
      <w:r>
        <w:rPr/>
        <w:t xml:space="preserve">Chevron U.S.A. Inc. </w:t>
      </w:r>
    </w:p>
    <w:p>
      <w:pPr>
        <w:pStyle w:val="Normal"/>
        <w:ind w:firstLine="720" w:end="0"/>
        <w:rPr/>
      </w:pPr>
      <w:r>
        <w:rPr/>
        <w:t>Conoco Inc.</w:t>
      </w:r>
    </w:p>
    <w:p>
      <w:pPr>
        <w:pStyle w:val="Normal"/>
        <w:ind w:firstLine="720" w:end="0"/>
        <w:rPr/>
      </w:pPr>
      <w:r>
        <w:rPr/>
        <w:t>Texaco Natural Gas Inc.</w:t>
      </w:r>
    </w:p>
    <w:p>
      <w:pPr>
        <w:pStyle w:val="Normal"/>
        <w:ind w:firstLine="720" w:end="0"/>
        <w:rPr/>
      </w:pPr>
      <w:r>
        <w:rPr/>
        <w:t>Occidental Energy Marketing Incorporated</w:t>
      </w:r>
    </w:p>
    <w:p>
      <w:pPr>
        <w:pStyle w:val="Normal"/>
        <w:rPr/>
      </w:pPr>
      <w:r>
        <w:rPr/>
        <w:t>Office of Ratepayer Advocates</w:t>
      </w:r>
    </w:p>
    <w:p>
      <w:pPr>
        <w:pStyle w:val="Normal"/>
        <w:rPr/>
      </w:pPr>
      <w:r>
        <w:rPr/>
        <w:t>REMAC</w:t>
      </w:r>
    </w:p>
    <w:p>
      <w:pPr>
        <w:pStyle w:val="Normal"/>
        <w:rPr/>
      </w:pPr>
      <w:r>
        <w:rPr/>
        <w:t>San Diego Gas &amp; Electric Company</w:t>
      </w:r>
    </w:p>
    <w:p>
      <w:pPr>
        <w:pStyle w:val="Normal"/>
        <w:rPr/>
      </w:pPr>
      <w:r>
        <w:rPr/>
        <w:t>Shell Energy Services</w:t>
      </w:r>
    </w:p>
    <w:p>
      <w:pPr>
        <w:pStyle w:val="Normal"/>
        <w:rPr/>
      </w:pPr>
      <w:r>
        <w:rPr/>
        <w:t>Southern California Edison Company</w:t>
      </w:r>
    </w:p>
    <w:p>
      <w:pPr>
        <w:pStyle w:val="Normal"/>
        <w:rPr/>
      </w:pPr>
      <w:r>
        <w:rPr/>
        <w:t>Southern California Gas Company</w:t>
      </w:r>
    </w:p>
    <w:p>
      <w:pPr>
        <w:pStyle w:val="Normal"/>
        <w:rPr/>
      </w:pPr>
      <w:r>
        <w:rPr/>
        <w:t>Transwestern Pipeline Company</w:t>
      </w:r>
    </w:p>
    <w:p>
      <w:pPr>
        <w:pStyle w:val="Normal"/>
        <w:rPr/>
      </w:pPr>
      <w:r>
        <w:rPr/>
        <w:t>TXU Energy Services</w:t>
      </w:r>
    </w:p>
    <w:p>
      <w:pPr>
        <w:pStyle w:val="Normal"/>
        <w:rPr/>
      </w:pPr>
      <w:r>
        <w:rPr/>
        <w:t>United Energy Management</w:t>
      </w:r>
    </w:p>
    <w:p>
      <w:pPr>
        <w:pStyle w:val="Normal"/>
        <w:rPr/>
      </w:pPr>
      <w:r>
        <w:rPr/>
        <w:t>Utility.com</w:t>
      </w:r>
    </w:p>
    <w:p>
      <w:pPr>
        <w:pStyle w:val="Normal"/>
        <w:rPr/>
      </w:pPr>
      <w:r>
        <w:rPr/>
        <w:t>Watson Cogeneration Company</w:t>
      </w:r>
    </w:p>
    <w:p>
      <w:pPr>
        <w:pStyle w:val="Normal"/>
        <w:rPr/>
      </w:pPr>
      <w:r>
        <w:rPr/>
        <w:t>Western Hub Properties</w:t>
      </w:r>
    </w:p>
    <w:p>
      <w:pPr>
        <w:pStyle w:val="Normal"/>
        <w:rPr/>
      </w:pPr>
      <w:r>
        <w:rPr/>
        <w:t>Wild Goose Storage Inc.</w:t>
      </w:r>
    </w:p>
    <w:p>
      <w:pPr>
        <w:pStyle w:val="Normal"/>
        <w:rPr/>
      </w:pPr>
      <w:r>
        <w:rPr/>
      </w:r>
    </w:p>
    <w:p>
      <w:pPr>
        <w:pStyle w:val="Normal"/>
        <w:rPr/>
      </w:pPr>
      <w:r>
        <w:rPr/>
      </w:r>
    </w:p>
    <w:p>
      <w:pPr>
        <w:pStyle w:val="Normal"/>
        <w:spacing w:lineRule="auto" w:line="360"/>
        <w:rPr/>
      </w:pPr>
      <w:r>
        <w:rPr/>
        <w:tab/>
        <w:tab/>
        <w:t>It is possible that additional parties who have not had time to complete their internal review processes will subscribe shortly.  The parties to the Comprehensive Settlement will inform the Commission if and when additional parties subscribe.</w:t>
      </w:r>
    </w:p>
    <w:p>
      <w:pPr>
        <w:pStyle w:val="Normal"/>
        <w:spacing w:lineRule="auto" w:line="360"/>
        <w:rPr/>
      </w:pPr>
      <w:r>
        <w:rPr/>
        <w:tab/>
        <w:tab/>
        <w:t>The parties to the Comprehensive Settlement look forward to serving prepared testimony in support of it on May 5 and to fully presenting the reasons for its adoption to the Commission in the process to follow as established by ALJ Biren.</w:t>
      </w:r>
    </w:p>
    <w:p>
      <w:pPr>
        <w:pStyle w:val="Normal"/>
        <w:spacing w:lineRule="auto" w:line="360"/>
        <w:rPr/>
      </w:pPr>
      <w:r>
        <w:rPr/>
        <w:tab/>
        <w:tab/>
        <w:t>Undersigned counsel has been authorized to submit this motion on behalf of all the parties listed above.</w:t>
      </w:r>
    </w:p>
    <w:p>
      <w:pPr>
        <w:pStyle w:val="Normal"/>
        <w:spacing w:lineRule="auto" w:line="360"/>
        <w:rPr/>
      </w:pPr>
      <w:r>
        <w:rPr/>
      </w:r>
    </w:p>
    <w:p>
      <w:pPr>
        <w:pStyle w:val="Normal"/>
        <w:spacing w:lineRule="auto" w:line="360"/>
        <w:rPr/>
      </w:pPr>
      <w:r>
        <w:rPr/>
        <w:tab/>
        <w:tab/>
        <w:tab/>
        <w:tab/>
        <w:t>Respectfully submitted,</w:t>
      </w:r>
    </w:p>
    <w:p>
      <w:pPr>
        <w:pStyle w:val="Normal"/>
        <w:spacing w:lineRule="auto" w:line="360"/>
        <w:rPr/>
      </w:pPr>
      <w:r>
        <w:rPr/>
      </w:r>
    </w:p>
    <w:p>
      <w:pPr>
        <w:pStyle w:val="Normal"/>
        <w:spacing w:lineRule="auto" w:line="360"/>
        <w:rPr/>
      </w:pPr>
      <w:r>
        <w:rPr/>
        <w:tab/>
        <w:tab/>
        <w:tab/>
        <w:tab/>
        <w:tab/>
      </w:r>
    </w:p>
    <w:p>
      <w:pPr>
        <w:pStyle w:val="Normal"/>
        <w:spacing w:lineRule="auto" w:line="360"/>
        <w:rPr/>
      </w:pPr>
      <w:r>
        <w:rPr/>
        <w:t>April 17, 2000</w:t>
        <w:tab/>
        <w:tab/>
        <w:t>By:______________________</w:t>
      </w:r>
    </w:p>
    <w:p>
      <w:pPr>
        <w:pStyle w:val="Normal"/>
        <w:rPr/>
      </w:pPr>
      <w:r>
        <w:rPr/>
        <w:tab/>
        <w:tab/>
        <w:tab/>
        <w:tab/>
        <w:t xml:space="preserve">   GLEN J. SULLIVAN</w:t>
      </w:r>
    </w:p>
    <w:p>
      <w:pPr>
        <w:pStyle w:val="Normal"/>
        <w:rPr/>
      </w:pPr>
      <w:r>
        <w:rPr/>
        <w:tab/>
        <w:tab/>
        <w:tab/>
        <w:tab/>
        <w:t xml:space="preserve">   Attorney for</w:t>
      </w:r>
    </w:p>
    <w:p>
      <w:pPr>
        <w:pStyle w:val="Normal"/>
        <w:ind w:start="3315" w:end="0"/>
        <w:rPr/>
      </w:pPr>
      <w:r>
        <w:rPr/>
        <w:t>Southern California Gas Company     and San Diego Gas &amp; Electric Company</w:t>
      </w:r>
    </w:p>
    <w:p>
      <w:pPr>
        <w:pStyle w:val="Normal"/>
        <w:ind w:start="3315" w:end="0"/>
        <w:rPr/>
      </w:pPr>
      <w:r>
        <w:rPr/>
      </w:r>
    </w:p>
    <w:p>
      <w:pPr>
        <w:pStyle w:val="Normal"/>
        <w:ind w:start="3315" w:end="0"/>
        <w:rPr/>
      </w:pPr>
      <w:r>
        <w:rPr/>
        <w:t>ON BEHALF OF ALL PARTIES LISTED ABOVE</w:t>
      </w:r>
    </w:p>
    <w:p>
      <w:pPr>
        <w:pStyle w:val="Normal"/>
        <w:rPr/>
      </w:pPr>
      <w:r>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u w:val="single"/>
      <w:lang w:eastAsia="en-US"/>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lang w:eastAsia="en-U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u w:val="single"/>
      <w:lang w:eastAsia="en-US"/>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spacing w:lineRule="auto" w:line="360"/>
      <w:ind w:firstLine="1440" w:start="0" w:end="0"/>
    </w:pPr>
    <w:rPr/>
  </w:style>
  <w:style w:type="paragraph" w:styleId="Subtitle">
    <w:name w:val="Subtitle"/>
    <w:basedOn w:val="Normal"/>
    <w:next w:val="BodyText"/>
    <w:qFormat/>
    <w:pPr/>
    <w:rPr>
      <w:rFonts w:ascii="Times New Roman" w:hAnsi="Times New Roman" w:cs="Times New Roman"/>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2000-04-17T16:12:00Z</dcterms:created>
  <dc:creator>Sempra Energy</dc:creator>
  <dc:description/>
  <dc:language>en-CA</dc:language>
  <cp:lastModifiedBy>Sempra Energy</cp:lastModifiedBy>
  <cp:lastPrinted>2000-04-17T15:52:00Z</cp:lastPrinted>
  <dcterms:modified xsi:type="dcterms:W3CDTF">2000-04-17T20:32:00Z</dcterms:modified>
  <cp:revision>5</cp:revision>
  <dc:subject/>
  <dc:title>BEFORE THE</dc:title>
</cp:coreProperties>
</file>