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BEFORE THE</w:t>
      </w:r>
    </w:p>
    <w:p>
      <w:pPr>
        <w:pStyle w:val="Normal"/>
        <w:jc w:val="center"/>
        <w:rPr>
          <w:b/>
        </w:rPr>
      </w:pPr>
      <w:r>
        <w:rPr>
          <w:b/>
        </w:rPr>
        <w:t>PUBLIC UTILITIES COMMISSION</w:t>
      </w:r>
    </w:p>
    <w:p>
      <w:pPr>
        <w:pStyle w:val="Normal"/>
        <w:jc w:val="center"/>
        <w:rPr>
          <w:b/>
        </w:rPr>
      </w:pPr>
      <w:r>
        <w:rPr>
          <w:b/>
        </w:rPr>
        <w:t>OF THE</w:t>
      </w:r>
    </w:p>
    <w:p>
      <w:pPr>
        <w:pStyle w:val="Normal"/>
        <w:jc w:val="center"/>
        <w:rPr>
          <w:b/>
        </w:rPr>
      </w:pPr>
      <w:r>
        <w:rPr>
          <w:b/>
        </w:rPr>
        <w:t>STATE OF CALIFORNIA</w:t>
      </w:r>
    </w:p>
    <w:p>
      <w:pPr>
        <w:pStyle w:val="Normal"/>
        <w:jc w:val="center"/>
        <w:rPr>
          <w:b/>
        </w:rPr>
      </w:pPr>
      <w:r>
        <w:rPr>
          <w:b/>
        </w:rPr>
      </w:r>
    </w:p>
    <w:p>
      <w:pPr>
        <w:pStyle w:val="Normal"/>
        <w:jc w:val="center"/>
        <w:rPr>
          <w:b/>
        </w:rPr>
      </w:pPr>
      <w:r>
        <w:rPr>
          <w:b/>
        </w:rPr>
      </w:r>
    </w:p>
    <w:p>
      <w:pPr>
        <w:pStyle w:val="BodyText"/>
        <w:spacing w:lineRule="auto" w:line="240"/>
        <w:jc w:val="start"/>
        <w:rPr>
          <w:b/>
        </w:rPr>
      </w:pPr>
      <w:r>
        <w:rPr>
          <w:b/>
        </w:rPr>
        <w:t>Investigation on the Commission’s Own Motion  )</w:t>
      </w:r>
    </w:p>
    <w:p>
      <w:pPr>
        <w:pStyle w:val="BodyText"/>
        <w:spacing w:lineRule="auto" w:line="240"/>
        <w:jc w:val="start"/>
        <w:rPr>
          <w:b/>
        </w:rPr>
      </w:pPr>
      <w:r>
        <w:rPr>
          <w:b/>
        </w:rPr>
        <w:t>To Consider the Costs and Benefits of Various ) I.99-07-003</w:t>
      </w:r>
    </w:p>
    <w:p>
      <w:pPr>
        <w:pStyle w:val="BodyText"/>
        <w:spacing w:lineRule="auto" w:line="240"/>
        <w:jc w:val="start"/>
        <w:rPr>
          <w:b/>
        </w:rPr>
      </w:pPr>
      <w:r>
        <w:rPr>
          <w:b/>
        </w:rPr>
        <w:t>Promising Revisions to the Regulatory and     )</w:t>
      </w:r>
    </w:p>
    <w:p>
      <w:pPr>
        <w:pStyle w:val="BodyText"/>
        <w:spacing w:lineRule="auto" w:line="240"/>
        <w:jc w:val="start"/>
        <w:rPr>
          <w:b/>
        </w:rPr>
      </w:pPr>
      <w:r>
        <w:rPr>
          <w:b/>
        </w:rPr>
        <w:t>Market Structure Governing California’s       )</w:t>
      </w:r>
    </w:p>
    <w:p>
      <w:pPr>
        <w:pStyle w:val="BodyText"/>
        <w:spacing w:lineRule="auto" w:line="240"/>
        <w:jc w:val="start"/>
        <w:rPr>
          <w:b/>
        </w:rPr>
      </w:pPr>
      <w:r>
        <w:rPr>
          <w:b/>
        </w:rPr>
        <w:t>Natural Gas Industry and to Report to the     )</w:t>
      </w:r>
    </w:p>
    <w:p>
      <w:pPr>
        <w:pStyle w:val="BodyText"/>
        <w:spacing w:lineRule="auto" w:line="240"/>
        <w:jc w:val="start"/>
        <w:rPr>
          <w:b/>
        </w:rPr>
      </w:pPr>
      <w:r>
        <w:rPr>
          <w:b/>
        </w:rPr>
        <w:t>California Legislature on the Commission’s    )</w:t>
      </w:r>
    </w:p>
    <w:p>
      <w:pPr>
        <w:pStyle w:val="BodyText"/>
        <w:spacing w:lineRule="auto" w:line="240"/>
        <w:jc w:val="start"/>
        <w:rPr>
          <w:b/>
        </w:rPr>
      </w:pPr>
      <w:r>
        <w:rPr>
          <w:b/>
        </w:rPr>
        <w:t>Findings                                      )</w:t>
      </w:r>
    </w:p>
    <w:p>
      <w:pPr>
        <w:pStyle w:val="BodyText"/>
        <w:spacing w:lineRule="auto" w:line="240"/>
        <w:jc w:val="start"/>
        <w:rPr>
          <w:b/>
        </w:rPr>
      </w:pPr>
      <w:r>
        <w:rPr>
          <w:b/>
        </w:rPr>
        <w:t>______________________________________________)</w:t>
      </w:r>
    </w:p>
    <w:p>
      <w:pPr>
        <w:pStyle w:val="Footer"/>
        <w:tabs>
          <w:tab w:val="clear" w:pos="4320"/>
          <w:tab w:val="clear" w:pos="8640"/>
        </w:tabs>
        <w:rPr>
          <w:b/>
        </w:rPr>
      </w:pPr>
      <w:r>
        <w:rPr>
          <w:b/>
        </w:rPr>
      </w:r>
    </w:p>
    <w:p>
      <w:pPr>
        <w:pStyle w:val="Normal"/>
        <w:jc w:val="center"/>
        <w:rPr/>
      </w:pPr>
      <w:r>
        <w:rPr/>
      </w:r>
    </w:p>
    <w:p>
      <w:pPr>
        <w:pStyle w:val="Normal"/>
        <w:jc w:val="center"/>
        <w:rPr/>
      </w:pPr>
      <w:r>
        <w:rPr/>
      </w:r>
    </w:p>
    <w:p>
      <w:pPr>
        <w:pStyle w:val="Normal"/>
        <w:jc w:val="center"/>
        <w:rPr>
          <w:b/>
        </w:rPr>
      </w:pPr>
      <w:r>
        <w:rPr>
          <w:b/>
        </w:rPr>
        <w:t>COMMENTS OF</w:t>
      </w:r>
    </w:p>
    <w:p>
      <w:pPr>
        <w:pStyle w:val="Normal"/>
        <w:jc w:val="center"/>
        <w:rPr>
          <w:b/>
        </w:rPr>
      </w:pPr>
      <w:r>
        <w:rPr>
          <w:b/>
        </w:rPr>
        <w:t>SOUTHERN CALIFORNIA GAS COMPANY (U 904 G)</w:t>
      </w:r>
    </w:p>
    <w:p>
      <w:pPr>
        <w:pStyle w:val="Normal"/>
        <w:jc w:val="center"/>
        <w:rPr>
          <w:b/>
        </w:rPr>
      </w:pPr>
      <w:r>
        <w:rPr>
          <w:b/>
        </w:rPr>
        <w:t>AND SAN DIEGO GAS &amp; ELECTRIC COMPANY (U 902 G)</w:t>
      </w:r>
    </w:p>
    <w:p>
      <w:pPr>
        <w:pStyle w:val="Normal"/>
        <w:jc w:val="center"/>
        <w:rPr>
          <w:b/>
        </w:rPr>
      </w:pPr>
      <w:r>
        <w:rPr>
          <w:b/>
        </w:rPr>
        <w:t>ON PROPOSED DECISION OF COMMISSIONER BILAS</w:t>
      </w:r>
    </w:p>
    <w:p>
      <w:pPr>
        <w:pStyle w:val="Normal"/>
        <w:jc w:val="center"/>
        <w:rPr>
          <w:b/>
        </w:rPr>
      </w:pPr>
      <w:r>
        <w:rPr>
          <w:b/>
        </w:rPr>
      </w:r>
    </w:p>
    <w:p>
      <w:pPr>
        <w:pStyle w:val="Normal"/>
        <w:jc w:val="center"/>
        <w:rPr/>
      </w:pPr>
      <w:r>
        <w:rPr/>
      </w:r>
    </w:p>
    <w:p>
      <w:pPr>
        <w:pStyle w:val="Normal"/>
        <w:jc w:val="center"/>
        <w:rPr/>
      </w:pPr>
      <w:r>
        <w:rPr/>
      </w:r>
    </w:p>
    <w:p>
      <w:pPr>
        <w:pStyle w:val="Normal"/>
        <w:spacing w:lineRule="auto" w:line="360"/>
        <w:rPr/>
      </w:pPr>
      <w:r>
        <w:rPr/>
        <w:tab/>
        <w:t>Pursuant to Rules 77.2 and 77.3, Southern California Gas Company (“SoCalGas”) and San Diego Gas &amp; Electric Company (“SDG&amp;E”) hereby jointly comment on the Proposed Decision (“PD”) of Commissioner Bilas dated November 21, 2000.</w:t>
      </w:r>
    </w:p>
    <w:p>
      <w:pPr>
        <w:pStyle w:val="Normal"/>
        <w:spacing w:lineRule="auto" w:line="360"/>
        <w:rPr/>
      </w:pPr>
      <w:r>
        <w:rPr/>
        <w:tab/>
        <w:t>SoCalGas and SDG&amp;E continue to believe that the Commission should approve Comprehensive Settlement Agreement (“CSA”).  There is no question that the CSA responds much more fully to the goals the Commission set for this proceeding.  Achieving those goals has become more important, not less important, in light of the developments in the gas and electric markets since the record in this case closed.  Therefore, the first section of SoCalGas and SDG&amp;E’s comments will address the technical, factual, and legal errors in the PD related to its recommendation that the Commission not adopt the CSA in the immediate future.</w:t>
      </w:r>
    </w:p>
    <w:p>
      <w:pPr>
        <w:pStyle w:val="Normal"/>
        <w:spacing w:lineRule="auto" w:line="360"/>
        <w:rPr/>
      </w:pPr>
      <w:r>
        <w:rPr/>
        <w:tab/>
        <w:t>Nevertheless, the Commission may decide not to adopt the CSA in the immediate future.  In this case, there are technical, factual, and legal errors in the PD with respect to some aspects of the alternatives it would adopt in lieu of the CSA.  Therefore, the second section of SoCalGas and SDG&amp;E’s comments will address these aspects.</w:t>
      </w:r>
    </w:p>
    <w:p>
      <w:pPr>
        <w:pStyle w:val="Normal"/>
        <w:spacing w:lineRule="auto" w:line="360"/>
        <w:rPr/>
      </w:pPr>
      <w:r>
        <w:rPr/>
      </w:r>
    </w:p>
    <w:p>
      <w:pPr>
        <w:pStyle w:val="Normal"/>
        <w:spacing w:lineRule="auto" w:line="360"/>
        <w:rPr/>
      </w:pPr>
      <w:r>
        <w:rPr/>
      </w:r>
    </w:p>
    <w:p>
      <w:pPr>
        <w:pStyle w:val="BodyText"/>
        <w:numPr>
          <w:ilvl w:val="0"/>
          <w:numId w:val="3"/>
        </w:numPr>
        <w:spacing w:lineRule="auto" w:line="240"/>
        <w:rPr>
          <w:b/>
        </w:rPr>
      </w:pPr>
      <w:r>
        <w:rPr>
          <w:b/>
        </w:rPr>
        <w:t>THE PD ERRS IN ITS ANALYSIS OF THE COMPREHENSIVE SETTLEMENT AGREEMENT</w:t>
      </w:r>
    </w:p>
    <w:p>
      <w:pPr>
        <w:pStyle w:val="Normal"/>
        <w:spacing w:lineRule="auto" w:line="360"/>
        <w:jc w:val="center"/>
        <w:rPr>
          <w:b/>
        </w:rPr>
      </w:pPr>
      <w:r>
        <w:rPr>
          <w:b/>
        </w:rPr>
      </w:r>
    </w:p>
    <w:p>
      <w:pPr>
        <w:pStyle w:val="BodyTextIndent"/>
        <w:numPr>
          <w:ilvl w:val="0"/>
          <w:numId w:val="2"/>
        </w:numPr>
        <w:spacing w:lineRule="auto" w:line="240"/>
        <w:ind w:hanging="590" w:start="1310" w:end="0"/>
        <w:rPr>
          <w:b/>
        </w:rPr>
      </w:pPr>
      <w:r>
        <w:rPr>
          <w:b/>
        </w:rPr>
        <w:t>Contrary to findings in the PD, the CSA will benefit SoCalGas’ core customers.</w:t>
      </w:r>
    </w:p>
    <w:p>
      <w:pPr>
        <w:pStyle w:val="BodyTextIndent"/>
        <w:ind w:hanging="0" w:start="720" w:end="0"/>
        <w:rPr>
          <w:b/>
        </w:rPr>
      </w:pPr>
      <w:r>
        <w:rPr>
          <w:b/>
        </w:rPr>
      </w:r>
    </w:p>
    <w:p>
      <w:pPr>
        <w:pStyle w:val="BodyTextIndent"/>
        <w:rPr/>
      </w:pPr>
      <w:r>
        <w:rPr/>
        <w:t>The PD contains serious factual and technical errors in its analysis of the impact of the CSA on SoCalGas’ core customers.</w:t>
      </w:r>
    </w:p>
    <w:p>
      <w:pPr>
        <w:pStyle w:val="BodyTextIndent"/>
        <w:rPr/>
      </w:pPr>
      <w:r>
        <w:rPr/>
        <w:t>Taken as a whole, the CSA unquestionably benefits core customers relative to the status quo.  This is certainly true to the extent that there are stranded costs associated with the 1,450 MMcfd of firm capacity that SoCalGas holds on El Paso and Transwestern.</w:t>
      </w:r>
      <w:r>
        <w:rPr>
          <w:rStyle w:val="FootnoteCharacters"/>
          <w:rStyle w:val="FootnoteReference"/>
        </w:rPr>
        <w:footnoteReference w:id="2"/>
      </w:r>
      <w:r>
        <w:rPr/>
        <w:t xml:space="preserve">  The CSA’s provisions regarding stranded interstate pipeline costs (Section 5.3) would produce a significant percentage shift of those costs from core customers to noncore customers.  First, prior to January 1, 2002, the CSA would change the status quo by allocating half of stranded costs related to CAT participation to the noncore market (which currently bears </w:t>
      </w:r>
      <w:r>
        <w:br w:type="page"/>
      </w:r>
    </w:p>
    <w:p>
      <w:pPr>
        <w:pStyle w:val="BodyTextIndent"/>
        <w:ind w:hanging="0" w:end="0"/>
        <w:rPr/>
      </w:pPr>
      <w:r>
        <w:rPr/>
        <w:t>no such costs), subject to a $5 million cap for 2001 (not pro-rated if implementation is after January 1, 2001).  Second, effective January 1, 2002, the current core contribution (equal cents per therm, capped at 10%) to recovery of the cost of stranded interstate capacity in excess of core requirements would be eliminated.</w:t>
      </w:r>
    </w:p>
    <w:p>
      <w:pPr>
        <w:pStyle w:val="BodyTextIndent"/>
        <w:rPr/>
      </w:pPr>
      <w:r>
        <w:rPr/>
        <w:t>With respect to the current allocation of authorized margin element of rates, the CSA is designed to be as cost-shift neutral as humanly possible.  The CSA explicitly states in Part I, Section 1.11 that this is its intent, and that it shall be interpreted in a manner consistent with this intent.  Furthermore, Attachment 8 to SoCalGas/SDG&amp;E witness Lorenz’s Exhibit No.2 shows that this is the result of the CSA.</w:t>
      </w:r>
    </w:p>
    <w:p>
      <w:pPr>
        <w:pStyle w:val="BodyTextIndent"/>
        <w:rPr/>
      </w:pPr>
      <w:r>
        <w:rPr/>
        <w:t>The PD says at p.34 that by fixing the embedded cost of the backbone transmission system at $77.813 million, the CSA changes the allocation of approximately $4.1 million in transmission-related authorized margin in a manner that shift costs to the core from the noncore compared to current cost allocation adopted in the last BCAP.  The PD says the Commission will not countenance unbundling that is not cost-shift neutral.  Unfortunately, the PD is wrong about the effect of this change in categorization under the CSA.</w:t>
      </w:r>
    </w:p>
    <w:p>
      <w:pPr>
        <w:pStyle w:val="BodyTextIndent"/>
        <w:rPr/>
      </w:pPr>
      <w:r>
        <w:rPr/>
        <w:t xml:space="preserve">In fact, the CSA shifts the categorization of this $4.1 million from backbone transmission to local </w:t>
      </w:r>
      <w:r>
        <w:rPr>
          <w:u w:val="single"/>
        </w:rPr>
        <w:t>transmission</w:t>
      </w:r>
      <w:r>
        <w:rPr/>
        <w:t xml:space="preserve">.  The PD says:  “Local costs are paid largely by the core.”  The PD apparently has erroneously assumed that the CSA is reallocating the $4.1 million to </w:t>
      </w:r>
      <w:r>
        <w:rPr>
          <w:u w:val="single"/>
        </w:rPr>
        <w:t>distribution</w:t>
      </w:r>
      <w:r>
        <w:rPr/>
        <w:t>, which is allocated heavily to core customers (under the current BCAP and the CSA).  Under current BCAP allocations, there is no distinction in the allocation between core and noncore classes of backbone and local transmission.  The shift in categorization in the CSA between backbone transmission and local transmission has virtually no effect on how this cost is allocated between classes under the mechanics of the CSA.  Under the CSA, retail core is allocated about 36% of backbone transmission costs (1,000 MMcf for retail core/(3,500 MMcf total backbone x 79% load factor).  This compares to adopted BCAP cold-year throughput allocation to core for transmission, retained in the CSA for local transmission, of approximately 36% (379 Bcf/1044 Bcf).  Thus, the treatment of this $4.1 million under the CSA is virtually cost-shift neutral.</w:t>
      </w:r>
      <w:r>
        <w:rPr>
          <w:rStyle w:val="FootnoteCharacters"/>
          <w:rStyle w:val="FootnoteReference"/>
        </w:rPr>
        <w:footnoteReference w:id="3"/>
      </w:r>
    </w:p>
    <w:p>
      <w:pPr>
        <w:pStyle w:val="BodyTextIndent"/>
        <w:rPr/>
      </w:pPr>
      <w:r>
        <w:rPr/>
        <w:t xml:space="preserve">In addition, the PD at p.35 says if one excludes the effect of allocation of stranded interstate capacity, Attachment 8 to Exhibit No.2 shows that core residential ratepayers will see an </w:t>
      </w:r>
      <w:r>
        <w:rPr>
          <w:u w:val="single"/>
        </w:rPr>
        <w:t>increase</w:t>
      </w:r>
      <w:r>
        <w:rPr/>
        <w:t xml:space="preserve"> in allocated costs under the CSA, including their proportionate share of capacity-related implementation costs.  This is also simply wrong.  Core residential customers will see a small net </w:t>
      </w:r>
      <w:r>
        <w:rPr>
          <w:u w:val="single"/>
        </w:rPr>
        <w:t>decrease</w:t>
      </w:r>
      <w:r>
        <w:rPr/>
        <w:t xml:space="preserve"> in allocated margin under the CSA, exclusive of provisions regarding stranded interstate capacity.</w:t>
      </w:r>
    </w:p>
    <w:p>
      <w:pPr>
        <w:pStyle w:val="BodyTextIndent"/>
        <w:rPr/>
      </w:pPr>
      <w:r>
        <w:rPr/>
        <w:t xml:space="preserve">The “Net Change from 2000 BCAP” for core residential customers from all parts of the CSA shown in Attachment 8 to Exhibit No.2 is a reduction of $3.776 million.  The two principal effects of the stranded interstate capacity provisions are shown on the lines entitled “Change in Noncore ITCS” of ($5.664) million and “CAT Unbundling Stranded Cost 2002 of $3.464 million.  Removing those two lines changes the reduction from $3.776 million to a reduction of $1.576 million.  In addition, one should recognize that excluding the stranded interstate cost provisions of the CSA will mean CTAs would bear the full interstate as-billed rate, not 50% as assumed in Attachment 8.  Referring to Exhibit No.20, that 50% is $894,000.  Thus, exclusive of provisions related to stranded interstate capacity, the CSA would still </w:t>
      </w:r>
      <w:r>
        <w:rPr>
          <w:u w:val="single"/>
        </w:rPr>
        <w:t>reduce</w:t>
      </w:r>
      <w:r>
        <w:rPr/>
        <w:t xml:space="preserve"> core residential rates by $682,000.  Recall that this calculation </w:t>
      </w:r>
      <w:r>
        <w:rPr>
          <w:u w:val="single"/>
        </w:rPr>
        <w:t>includes</w:t>
      </w:r>
      <w:r>
        <w:rPr/>
        <w:t xml:space="preserve"> the effect of implementation costs allocated to core residential customers.</w:t>
      </w:r>
    </w:p>
    <w:p>
      <w:pPr>
        <w:pStyle w:val="BodyTextIndent"/>
        <w:rPr/>
      </w:pPr>
      <w:r>
        <w:rPr/>
        <w:t>SoCalGas and SDG&amp;E readily concede this $682,000 reduction is not a significant decrease.  It was intended not to be significant. The goal, which the PD seems to endorse, is as little shift as humanly possible in core/noncore allocation of authorized margin adopted in the April 2000 BCAP decision.  The CSA fully meets this criterion.</w:t>
      </w:r>
    </w:p>
    <w:p>
      <w:pPr>
        <w:pStyle w:val="BodyTextIndent"/>
        <w:rPr/>
      </w:pPr>
      <w:r>
        <w:rPr/>
        <w:t>SoCalGas and SDG&amp;E also point out that the record shows that the CSA will produce very substantial benefits for the core unrelated to the allocation of authorized margin.  Most significant are the benefits that will flow from retail core’s disproportionately large allocation of backbone intrastate capacity at Topock, and the retail core’s ability to engage in net brokering of its total 1,000 MMcfd of backbone intrastate capacity.</w:t>
      </w:r>
    </w:p>
    <w:p>
      <w:pPr>
        <w:pStyle w:val="BodyTextIndent"/>
        <w:rPr/>
      </w:pPr>
      <w:r>
        <w:rPr/>
        <w:t>Mr. Pocta of ORA in Exhibit No.4 at p.11 quantified the benefit of disproportionate access at Topock to be $2.8 million per year.  Given recent developments, this estimate may be conservative.  The PD at p.41 appears to say that these rights accorded the retail core in the CSA are of lesser or no value due to the recent FERC decision (93 FERC Para. 61,060) on complaints regarding allocation of firm rights on El Paso.</w:t>
      </w:r>
      <w:r>
        <w:rPr>
          <w:rStyle w:val="FootnoteCharacters"/>
          <w:rStyle w:val="FootnoteReference"/>
        </w:rPr>
        <w:footnoteReference w:id="4"/>
      </w:r>
      <w:r>
        <w:rPr/>
        <w:t xml:space="preserve">  This is an incorrect conclusion.</w:t>
      </w:r>
    </w:p>
    <w:p>
      <w:pPr>
        <w:pStyle w:val="BodyTextIndent"/>
        <w:rPr/>
      </w:pPr>
      <w:r>
        <w:rPr/>
        <w:t>Adopting a system of firm capacity rights on SoCalGas downstream of El Paso is now more important than ever.  The PD, in adopting the Interim Settlement, would explicitly base rights on SoCalGas’ system on the rights of shippers on the upstream pipelines, such as El Paso.  This amounts to a concession of the jurisdiction of this Commission over California facilities to the FERC.  Rather, California needs a system of firm capacity rights on its PUC-regulated pipelines, which should be respected by the FERC.  SoCalGas notes that in Footnote 11 of the FERC decision (93 FERC Para. 61,060), FERC continues to say that SoCalGas, as well as other LDC’s, have a responsibility as gatekeepers of their respective systems.</w:t>
      </w:r>
    </w:p>
    <w:p>
      <w:pPr>
        <w:pStyle w:val="BodyTextIndent"/>
        <w:rPr/>
      </w:pPr>
      <w:r>
        <w:rPr/>
        <w:t>Furthermore, despite the FERC decisions to date, the allocation to the retail core of 290 MMcfd of firm SoCalGas backbone capacity from the Topock receipt point under Section 1.1.3.5.1 of the CSA would have a substantial value to the retail core market.  The retail core market could broker this capacity to those who hold El Paso capacity to Topock at a premium value in the secondary market.</w:t>
      </w:r>
    </w:p>
    <w:p>
      <w:pPr>
        <w:pStyle w:val="BodyTextIndent"/>
        <w:rPr/>
      </w:pPr>
      <w:r>
        <w:rPr/>
        <w:t xml:space="preserve">Second, as described in more detail at pp.67-70 and in the appendix of SoCalGas/SDG&amp;E’s Reply Brief, the retail core will be able to broker a portion of its 1,000 MMcfd of intrastate capacity backbone rights on about 285 days a year, and have to acquire some additional capacity or substitutes on only about 80 days a year.  Assuming </w:t>
      </w:r>
      <w:r>
        <w:rPr>
          <w:u w:val="single"/>
        </w:rPr>
        <w:t>conservatively</w:t>
      </w:r>
      <w:r>
        <w:rPr/>
        <w:t xml:space="preserve"> it has to buy at 120% of embedded cost, and can sell at only 55% of embedded cost, it will still net about $3.3 million in revenues.  The PD fails to note either of these two impacts, which are far more significant than the impacts on the core that it does discuss.</w:t>
      </w:r>
    </w:p>
    <w:p>
      <w:pPr>
        <w:pStyle w:val="Footer"/>
        <w:tabs>
          <w:tab w:val="clear" w:pos="4320"/>
          <w:tab w:val="clear" w:pos="8640"/>
        </w:tabs>
        <w:spacing w:lineRule="auto" w:line="360"/>
        <w:rPr/>
      </w:pPr>
      <w:r>
        <w:rPr/>
      </w:r>
    </w:p>
    <w:p>
      <w:pPr>
        <w:pStyle w:val="Normal"/>
        <w:numPr>
          <w:ilvl w:val="0"/>
          <w:numId w:val="2"/>
        </w:numPr>
        <w:ind w:hanging="590" w:start="1310" w:end="0"/>
        <w:rPr>
          <w:b/>
        </w:rPr>
      </w:pPr>
      <w:r>
        <w:rPr>
          <w:b/>
        </w:rPr>
        <w:t>Developments in the marketplace since the record closed continue to show that the CSA would provide substantial net benefits to noncore customers.</w:t>
      </w:r>
    </w:p>
    <w:p>
      <w:pPr>
        <w:pStyle w:val="Normal"/>
        <w:spacing w:lineRule="auto" w:line="360"/>
        <w:rPr>
          <w:b/>
        </w:rPr>
      </w:pPr>
      <w:r>
        <w:rPr>
          <w:b/>
        </w:rPr>
      </w:r>
    </w:p>
    <w:p>
      <w:pPr>
        <w:pStyle w:val="BodyTextIndent"/>
        <w:rPr/>
      </w:pPr>
      <w:r>
        <w:rPr/>
        <w:t>There have been dramatic developments in the gas marketplace (not to mention the electric marketplace) in the time since this record closed.  There has been an approximate tripling of gas prices in producing basins nationwide.  There have been massive increases in the spread between the California border price of gas and the sum of basin prices and as-billed interstate transportation rates.  FERC is reallocating firm rights to delivery points on the El Paso system.</w:t>
      </w:r>
    </w:p>
    <w:p>
      <w:pPr>
        <w:pStyle w:val="BodyTextIndent"/>
        <w:rPr/>
      </w:pPr>
      <w:r>
        <w:rPr/>
        <w:t>In rejecting adoption of the CSA for the immediate future, the PD relies heavily on developments in the gas markets since the record closed in this proceeding.  In particular, the PD at pp.35-40 examines the differences from May through October, 2000, between reported market prices for city-gate gas on the PG&amp;E system and border prices delivered to PG&amp;E plus firm transportation rates on PG&amp;E’s backbone.  Similar information for May 1999-April 2000 was presented on the record in Exhibit No.18.</w:t>
      </w:r>
    </w:p>
    <w:p>
      <w:pPr>
        <w:pStyle w:val="BodyTextIndent"/>
        <w:rPr/>
      </w:pPr>
      <w:r>
        <w:rPr/>
        <w:t>The PD correctly finds that the data in Exhibit No.18 indicates that for May 1999-April 2000, city-gate prices on the PG&amp;E system offered, on average, a discount to border gas plus firm intrastate transportation.  However, the PD then goes on to find that more recent information since the close of the record shows that a city-gate discount is “evanescent” and that it cannot be relied on in making the Commission’s decision.  It finds that the benefits of the CSA to noncore customers does not exceed the implementation costs the CSA would impose on noncore customers.</w:t>
      </w:r>
    </w:p>
    <w:p>
      <w:pPr>
        <w:pStyle w:val="BodyTextIndent"/>
        <w:rPr/>
      </w:pPr>
      <w:r>
        <w:rPr/>
        <w:t>In the first instance, SoCalGas and SDG&amp;E express concern as to whether the PD goes farther than allowed by law in taking official notice of developments after the close of the record.  More than the particular market price information published by Gas Daily or Natural Gas Intelligence after the close of the record, SoCalGas and SDG&amp;E’s concern goes to the interpretation of that information in the PD which is not supported by any expert testimony.</w:t>
      </w:r>
    </w:p>
    <w:p>
      <w:pPr>
        <w:pStyle w:val="BodyTextIndent"/>
        <w:rPr/>
      </w:pPr>
      <w:r>
        <w:rPr/>
        <w:t>SoCalGas and SDG&amp;E do not for a moment suggest that the Commission should be oblivious in making a decision here to major developments in the California energy marketplace since the close of the record.  If necessary, the Commission should reopen the record.</w:t>
      </w:r>
    </w:p>
    <w:p>
      <w:pPr>
        <w:pStyle w:val="BodyTextIndent"/>
        <w:rPr/>
      </w:pPr>
      <w:r>
        <w:rPr/>
        <w:t>However, if it is lawful for the PD to rely on and analyze the published prices for city gate and border prices on the PG&amp;E system since the close of the record, it is equally lawful for comments on the PD to rely on and analyze the same information in the PD, and even more recent information of the same kind.</w:t>
      </w:r>
    </w:p>
    <w:p>
      <w:pPr>
        <w:pStyle w:val="BodyTextIndent"/>
        <w:rPr/>
      </w:pPr>
      <w:r>
        <w:rPr/>
        <w:t>Mr. Beach, on behalf of Watson Cogeneration, was the witness in support of the CSA who principally addressed the impacts of a firm intrastate backbone capacity system on northern California under the PG&amp;E Gas Accord.  Watson has allowed SoCalGas and SDG&amp;E to review a draft of the comments it will file today on the PD.  SoCalGas and SDG&amp;E endorse and recommend to the Commission’s attention the contents of Watson’s comments.</w:t>
      </w:r>
    </w:p>
    <w:p>
      <w:pPr>
        <w:pStyle w:val="BodyTextIndent"/>
        <w:rPr/>
      </w:pPr>
      <w:r>
        <w:rPr/>
        <w:t>As described in more detail in Watson’s comments, a proper analysis of the figures for the PG&amp;E system for May-October of 2000 presented in the PD at p.38 show that the city-gate price on the PG&amp;E system has been consistently below the border price plus Baja firm transportation rate, except for the month of October.  This is the path that represents customers’ usual alternative to city-gate purchases because the Redwood path was fully subscribed at regulated cost on a firm basis in the initial open season.  Thus, even since the close of the record, the market in PG&amp;E’s territory has on average continued to realize a discount on the cost of PG&amp;E’s Baja capacity.</w:t>
      </w:r>
    </w:p>
    <w:p>
      <w:pPr>
        <w:pStyle w:val="BodyTextIndent"/>
        <w:rPr/>
      </w:pPr>
      <w:r>
        <w:rPr/>
        <w:t xml:space="preserve">The PD at p.38 seems to put particular emphasis on the </w:t>
      </w:r>
      <w:r>
        <w:rPr>
          <w:u w:val="single"/>
        </w:rPr>
        <w:t>one</w:t>
      </w:r>
      <w:r>
        <w:rPr/>
        <w:t xml:space="preserve"> month – October 2000 – in which the PG&amp;E city-gate price was at a premium to the border price plus Baja transportation.  However, recorded market prices for November and December, too recent to be reflected in the PD, completely debunk this concern.  As Watson’s comments show, PG&amp;E city-gate gas traded at a discount to </w:t>
      </w:r>
      <w:r>
        <w:rPr>
          <w:u w:val="single"/>
        </w:rPr>
        <w:t>both</w:t>
      </w:r>
      <w:r>
        <w:rPr/>
        <w:t xml:space="preserve"> “border plus Malin” and “border plus Baja” in both November and December of 2000.  Furthermore, the amount of the city-gate discount relative to both paths increased in December over November, even as overall gas prices escalated.  The December city-gate discount relative to firm Malin/Redwood is $0.40 per dth, and $0.34 relative to firm Southern California/Baja.  These are numbers well above the numbers that the CSA proponents used on the record to demonstrate benefits from the CSA.</w:t>
      </w:r>
    </w:p>
    <w:p>
      <w:pPr>
        <w:pStyle w:val="BodyTextIndent"/>
        <w:rPr/>
      </w:pPr>
      <w:r>
        <w:rPr/>
        <w:t>The November and December results on the PG&amp;E system are particularly critical.  They show that a system of firm, tradable intrastate transmission rights, such as PG&amp;E has now and that the CSA would implement for SoCalGas, are working to save customers money even in a market where prices have gone sky-high.</w:t>
      </w:r>
    </w:p>
    <w:p>
      <w:pPr>
        <w:pStyle w:val="BodyTextIndent"/>
        <w:rPr/>
      </w:pPr>
      <w:r>
        <w:rPr/>
        <w:t>Thus, contrary to the conclusion of the PD, the actual prices on the PG&amp;E system since the record closed fully support the conclusion that the CSA will generate more than enough benefits to noncore customers to justify the relatively modest cost to of implementation of the CSA’s capacity-related provisions.</w:t>
      </w:r>
    </w:p>
    <w:p>
      <w:pPr>
        <w:pStyle w:val="BodyTextIndent"/>
        <w:rPr/>
      </w:pPr>
      <w:r>
        <w:rPr/>
        <w:t xml:space="preserve">Furthermore, the PD would adopt the Interim Settlement and its authorization of recovery of a revenue requirement on capital investment by SoCalGas of up to $3.5 million.  Therefore, the relevant question is whether the </w:t>
      </w:r>
      <w:r>
        <w:rPr>
          <w:u w:val="single"/>
        </w:rPr>
        <w:t>incremental</w:t>
      </w:r>
      <w:r>
        <w:rPr/>
        <w:t xml:space="preserve"> implementation cost of the CSA above the Interim Settlement is justified by the incremental benefits provided by the CSA over the Interim Settlement.  Only the CSA creates the potential for a city-gate discount.  The PD fails to make an appropriate comparison.  Also, it says the $1.3 million implementation cost to the noncore under the CSA may be understated because SoCalGas is entitled to retain revenues from services if its actual costs exceed $2 million.  However, the services to which these fees relate are optional, and customers will incur them only if they decide the benefits to them exceed the fees.  Therefore, using a cost to noncore customers above $1.3 million is not appropriate.</w:t>
      </w:r>
    </w:p>
    <w:p>
      <w:pPr>
        <w:pStyle w:val="BodyTextIndent"/>
        <w:rPr/>
      </w:pPr>
      <w:r>
        <w:rPr/>
        <w:t>In any case, SoCalGas and SDG&amp;E submit the PD is far too narrow in its analysis as to whether the reforms the Commission endorsed in the Promising Options decision will benefit noncore customers.  A potential city-gate discount is hardly the only benefit of the CSA to noncore customers, nor have the CSA signatories ever suggested it is the only benefit.  The CSA gives noncore customers far more options than the status quo or the Interim Settlement the PD would adopt in tailoring service to meet their requirements.  Noncore customers will have more choices as to transmission service, storage service, and balancing.  They will be able to buy only those services that they sufficiently value.  Unlike under the Interim Settlement, SoCalGas shareholders will be put fully at risk for the cost of assets and services that customers do not elect to purchase.</w:t>
      </w:r>
    </w:p>
    <w:p>
      <w:pPr>
        <w:pStyle w:val="BodyTextIndent"/>
        <w:rPr/>
      </w:pPr>
      <w:r>
        <w:rPr/>
      </w:r>
    </w:p>
    <w:p>
      <w:pPr>
        <w:pStyle w:val="BodyTextIndent"/>
        <w:numPr>
          <w:ilvl w:val="0"/>
          <w:numId w:val="2"/>
        </w:numPr>
        <w:spacing w:lineRule="auto" w:line="240"/>
        <w:ind w:hanging="590" w:start="1310" w:end="0"/>
        <w:rPr>
          <w:b/>
        </w:rPr>
      </w:pPr>
      <w:r>
        <w:rPr>
          <w:b/>
        </w:rPr>
        <w:t>Changing circumstances make the CSA more desirable – not less.</w:t>
      </w:r>
    </w:p>
    <w:p>
      <w:pPr>
        <w:pStyle w:val="BodyTextIndent"/>
        <w:ind w:hanging="0" w:start="720" w:end="0"/>
        <w:rPr>
          <w:b/>
        </w:rPr>
      </w:pPr>
      <w:r>
        <w:rPr>
          <w:b/>
        </w:rPr>
      </w:r>
    </w:p>
    <w:p>
      <w:pPr>
        <w:pStyle w:val="BodyTextIndent"/>
        <w:rPr/>
      </w:pPr>
      <w:r>
        <w:rPr/>
        <w:t>The PD, especially at pp.42-45, expresses concern whether the CSA’s structure of firm, tradable intrastate transmission rights may raise costs unconscionably in a suddenly-changed tight market.  No doubt recent experience after the FERC’s lifting of the “as-billed” cap on short-term secondary market in firm El Paso capacity contributes to this concern.</w:t>
      </w:r>
    </w:p>
    <w:p>
      <w:pPr>
        <w:pStyle w:val="BodyTextIndent"/>
        <w:rPr/>
      </w:pPr>
      <w:r>
        <w:rPr/>
        <w:t xml:space="preserve">Of course, it is important to note that gas prices have increased dramatically in </w:t>
      </w:r>
      <w:r>
        <w:rPr>
          <w:u w:val="single"/>
        </w:rPr>
        <w:t>both</w:t>
      </w:r>
      <w:r>
        <w:rPr/>
        <w:t xml:space="preserve"> northern and southern California the past few months.  Customers of SoCalGas and SDG&amp;E have not been spared, even though SoCalGas currently does not have a firm intrastate rights system and PG&amp;E does.  In fact, the figures at p.38 of the PD indicate that the border price to SoCalGas has been somewhat greater than the southern California border price to PG&amp;E, and this relationship has continued in November and December prices reported in the trade press.  These facts support the conclusion that the existence of the Gas Accord on the PG&amp;E system has not contributed to high gas prices, so adoption of the similar provisions of the CSA would not harm southern California gas consumers.</w:t>
      </w:r>
    </w:p>
    <w:p>
      <w:pPr>
        <w:pStyle w:val="BodyTextIndent"/>
        <w:rPr/>
      </w:pPr>
      <w:r>
        <w:rPr/>
        <w:t xml:space="preserve">Even more directly, the data in the PD at p.38, as well as the more recent data shown in Watson’s comments on the PD show that the causes of very high prices in northern California are </w:t>
      </w:r>
      <w:r>
        <w:rPr>
          <w:u w:val="single"/>
        </w:rPr>
        <w:t>upstream</w:t>
      </w:r>
      <w:r>
        <w:rPr/>
        <w:t xml:space="preserve"> of PG&amp;E, and not a product of the firm capacity rights on PG&amp;E.  Indeed, as noted above, the city gate discount from PG&amp;E border prices has increased as gas prices generally have increased in the two most recent months.  In other words, a system of firm backbone rights on the PG&amp;E system has actually helped moderate the cost of gas available to PG&amp;E customers.  Therefore, what we know to the current moment supports implementing the CSA </w:t>
      </w:r>
      <w:r>
        <w:rPr>
          <w:u w:val="single"/>
        </w:rPr>
        <w:t>now</w:t>
      </w:r>
      <w:r>
        <w:rPr/>
        <w:t xml:space="preserve"> for southern California.</w:t>
      </w:r>
    </w:p>
    <w:p>
      <w:pPr>
        <w:pStyle w:val="BodyTextIndent"/>
        <w:rPr/>
      </w:pPr>
      <w:r>
        <w:rPr/>
        <w:t xml:space="preserve">There is nothing about the PG&amp;E system that should lead to the conclusion that the results we are seeing under the Gas Accord today are not applicable to the SoCalGas system.  Any implication to the contrary in the PD is erroneous.  Footnote 32 at p.39 of the PD says "PG&amp;E's excess transportation capacity is one condition that is certainly different from SoCalGas."  The record clearly shows that PG&amp;E has </w:t>
      </w:r>
      <w:r>
        <w:rPr>
          <w:u w:val="single"/>
        </w:rPr>
        <w:t>less</w:t>
      </w:r>
      <w:r>
        <w:rPr/>
        <w:t xml:space="preserve"> excess transportation capacity (i.e., a higher load factor) than does SoCalGas.  That is why a 87.5% load factor is used in the PG&amp;E Gas Accord and only a 79% load factor in the CSA for SoCalGas!  The implication of the PD’s erroneous factual observation is obvious.  SoCalGas customers are likely to realize greater benefits from unbundling than PG&amp;E customers because SoCalGas has greater excess transportation capacity and significantly greater storage capacity.</w:t>
      </w:r>
    </w:p>
    <w:p>
      <w:pPr>
        <w:pStyle w:val="Normal"/>
        <w:spacing w:lineRule="auto" w:line="360"/>
        <w:ind w:firstLine="720" w:end="0"/>
        <w:rPr/>
      </w:pPr>
      <w:r>
        <w:rPr/>
        <w:t>Also, the CSA has a key provision that will prevent holders of backbone capacity from holding it off the market in an effort to drive up prices.  Clearly this is a concern that the Commission would have in the wake of electric restructuring.  The CSA provides that SoCalGas may sell interruptible capacity on any day that firm capacity is not nominated by its holder.  Furthermore, the rate that SoCalGas may charge is capped at 120% of the embedded cost of that capacity.  Since the embedded cost is only about 7.2 cents per decatherm, even a full 20% “premium” is going to amount to a very low cap in terms of the cost of gas delivered at the burner tip.</w:t>
      </w:r>
    </w:p>
    <w:p>
      <w:pPr>
        <w:pStyle w:val="BodyTextIndent"/>
        <w:rPr/>
      </w:pPr>
      <w:r>
        <w:rPr/>
        <w:t>Furthermore, the PD fails to recognize that there are significant differences between the Interim Settlement and the capacity-related provisions of the CSA that are very relevant to managing the southern California gas system at times, such as the present, of remarkably high gas costs.  Particularly, very high gas prices create incentives for marketers and large consumers to push system balancing rules for all they are worth because of the potential rewards.</w:t>
      </w:r>
    </w:p>
    <w:p>
      <w:pPr>
        <w:pStyle w:val="Normal"/>
        <w:spacing w:lineRule="auto" w:line="360"/>
        <w:ind w:firstLine="720" w:end="0"/>
        <w:rPr/>
      </w:pPr>
      <w:r>
        <w:rPr/>
        <w:t>The balancing rules adopted in the CSA are far superior in this environment to those in the Interim Settlement adopted by the PD.  The balancing rules in the PD are similar to the status quo--high inventory OFOs (overnomination events) in the summer if total system injection capability is overtaxed, and winter balancing rules tied to overall system storage inventories.  The CSA, on the other hand, explicitly assigns balancing assets to the core and noncore and calls high inventory or low inventory OFOs for either class if that class attempts to use more than the assets assigned to it.  The CSA approach is far superior from the core's perspective because it does not allow noncore customers to use core storage assets without financially compensating the core, which is allocated and pays for most of SoCalGas' storage, for those assets.  Some large customers may want to exploit the free ride for noncore under the current system at the expense of core customers.</w:t>
      </w:r>
    </w:p>
    <w:p>
      <w:pPr>
        <w:pStyle w:val="Normal"/>
        <w:spacing w:lineRule="auto" w:line="360"/>
        <w:ind w:firstLine="720" w:end="0"/>
        <w:rPr/>
      </w:pPr>
      <w:r>
        <w:rPr/>
        <w:t>What makes the Interim Settlement balancing proposal adopted under the PD even worse than the status quo from the core's perspective, however, is that the core would not have the corresponding right to use "temporarily unused" noncore storage assets for free.  There are provisions in that proposal that would allow the OFO forum to target the core if it uses signficantly more than its assigned injection capacity.  Although these provisions could theoretically apply to large noncore abusers of the system balancing rules, it is clear that it is primarily the core, which uses more storage than any other customer, that would be targeted by the OFO forum.  In fact, specific punishment provisions targeted at SoCalGas Gas Acquisition are already in that document.</w:t>
      </w:r>
    </w:p>
    <w:p>
      <w:pPr>
        <w:pStyle w:val="BodyTextIndent"/>
        <w:rPr/>
      </w:pPr>
      <w:r>
        <w:rPr/>
        <w:t>In conclusion, SoCalGas and SDG&amp;E emphasize that what the CSA would do (and what the PG&amp;E Gas Accord already does) is very different from what AB 1890 did to the electric industry.  The CSA would not transfer any of the Commission’s jurisdiction to any new quasi-state agencies like the ISO or PX.  It would not require the divestiture of any assets by SoCalGas or SDG&amp;E.  It would not transfer to the FERC any jurisdiction over the assets, prices, or services of SoCalGas or SDG&amp;E.  Furthermore, although the CSA provides for a term until August 31, 2006, the Commission has the inherent right to step in during its term to modify its provisions if the results are contrary to the public interest and the Commission’s intent in adopting it.</w:t>
      </w:r>
    </w:p>
    <w:p>
      <w:pPr>
        <w:pStyle w:val="BodyTextIndent"/>
        <w:rPr/>
      </w:pPr>
      <w:r>
        <w:rPr/>
      </w:r>
    </w:p>
    <w:p>
      <w:pPr>
        <w:pStyle w:val="BodyTextIndent"/>
        <w:numPr>
          <w:ilvl w:val="0"/>
          <w:numId w:val="2"/>
        </w:numPr>
        <w:rPr>
          <w:b/>
        </w:rPr>
      </w:pPr>
      <w:r>
        <w:rPr>
          <w:b/>
        </w:rPr>
        <w:t>Customer support for the CSA is strong.</w:t>
      </w:r>
    </w:p>
    <w:p>
      <w:pPr>
        <w:pStyle w:val="BodyTextIndent"/>
        <w:ind w:hanging="0" w:start="720" w:end="0"/>
        <w:rPr>
          <w:b/>
        </w:rPr>
      </w:pPr>
      <w:r>
        <w:rPr>
          <w:b/>
        </w:rPr>
      </w:r>
    </w:p>
    <w:p>
      <w:pPr>
        <w:pStyle w:val="BodyTextIndent"/>
        <w:rPr/>
      </w:pPr>
      <w:r>
        <w:rPr/>
        <w:t>The PD at p.46 errs when it says that there is weak customer support for the intrastate transmission unbundling aspect of the CSA.</w:t>
      </w:r>
    </w:p>
    <w:p>
      <w:pPr>
        <w:pStyle w:val="BodyTextIndent"/>
        <w:rPr/>
      </w:pPr>
      <w:r>
        <w:rPr/>
        <w:t>First, in footnote 36 on that page it says that CIG/CMA does not support the CSA.  This is simply wrong.  CIG and CMA (now the California Manufacturers and Technology Association) are signatories to the CSA.</w:t>
      </w:r>
    </w:p>
    <w:p>
      <w:pPr>
        <w:pStyle w:val="BodyTextIndent"/>
        <w:rPr/>
      </w:pPr>
      <w:r>
        <w:rPr/>
        <w:t>Second, the PD says that it does not know how ORA views intrastate unbundling divorced from the other benefits it sees in the CSA.  It should be noted that ORA did not sign or support the Interim Settlement – which does not unbundle intrastate backbone transmission, but it did sign and support the CSA.  SoCalGas and SDG&amp;E also respectfully refer the Commission to the testimony of ORA witness Pocta and the briefs of ORA on the intrastate capacity related provisions of the CSA.  SoCalGas and SDG&amp;E believe that the record shows that ORA sees very substantial benefit to the core market from the firm access that the CSA would give to core customers, especially through the Topock receipt point.  Of course, ORA will again speak for itself in comments it files on the PD.</w:t>
      </w:r>
    </w:p>
    <w:p>
      <w:pPr>
        <w:pStyle w:val="BodyTextIndent"/>
        <w:rPr/>
      </w:pPr>
      <w:r>
        <w:rPr/>
      </w:r>
    </w:p>
    <w:p>
      <w:pPr>
        <w:pStyle w:val="BodyTextIndent"/>
        <w:rPr/>
      </w:pPr>
      <w:r>
        <w:rPr/>
      </w:r>
    </w:p>
    <w:p>
      <w:pPr>
        <w:pStyle w:val="BodyTextIndent"/>
        <w:spacing w:lineRule="auto" w:line="240"/>
        <w:ind w:hanging="0" w:end="0"/>
        <w:jc w:val="center"/>
        <w:rPr>
          <w:b/>
        </w:rPr>
      </w:pPr>
      <w:r>
        <w:rPr>
          <w:b/>
        </w:rPr>
        <w:t>II.</w:t>
        <w:tab/>
        <w:t>A FEW MODIFICATIONS SHOULD BE MADE IN THE PD EVEN IF THE COMMISSION DOES NOT ADOPT THE COMPREHENSIVE SETTLEMENT AGREEMENT</w:t>
      </w:r>
    </w:p>
    <w:p>
      <w:pPr>
        <w:pStyle w:val="BodyTextIndent"/>
        <w:jc w:val="center"/>
        <w:rPr/>
      </w:pPr>
      <w:r>
        <w:rPr/>
      </w:r>
    </w:p>
    <w:p>
      <w:pPr>
        <w:pStyle w:val="Normal"/>
        <w:spacing w:lineRule="auto" w:line="360"/>
        <w:ind w:firstLine="720" w:end="0"/>
        <w:rPr/>
      </w:pPr>
      <w:r>
        <w:rPr/>
        <w:t>In the event the Commission decides not to adopt the CSA, in spite of the reasons to do so as discussed above, there are still a few changes that should be made to the PD.</w:t>
      </w:r>
    </w:p>
    <w:p>
      <w:pPr>
        <w:pStyle w:val="Normal"/>
        <w:numPr>
          <w:ilvl w:val="0"/>
          <w:numId w:val="1"/>
        </w:numPr>
        <w:tabs>
          <w:tab w:val="clear" w:pos="720"/>
          <w:tab w:val="left" w:pos="0" w:leader="none"/>
        </w:tabs>
        <w:ind w:firstLine="1440" w:start="0" w:end="0"/>
        <w:rPr>
          <w:b/>
        </w:rPr>
      </w:pPr>
      <w:r>
        <w:rPr>
          <w:b/>
        </w:rPr>
        <w:t>The PD needs to be modified to leave the Commission with the discretion to act swiftly to adopt further reforms that it may decide are necessary to respond to current conditions.</w:t>
      </w:r>
    </w:p>
    <w:p>
      <w:pPr>
        <w:pStyle w:val="Normal"/>
        <w:rPr>
          <w:b/>
        </w:rPr>
      </w:pPr>
      <w:r>
        <w:rPr>
          <w:b/>
        </w:rPr>
      </w:r>
    </w:p>
    <w:p>
      <w:pPr>
        <w:pStyle w:val="BodyTextIndent3"/>
        <w:rPr/>
      </w:pPr>
      <w:r>
        <w:rPr/>
        <w:t xml:space="preserve">SoCalGas has addressed above how the CSA contains provisions that would help ameliorate the impact on California consumers of current extremely high gas prices.  In particular, having the LDC act as a “gatekeeper” to its system and having transportation balancing rules that substantially restrict shippers from “swinging” on system assets or assets allocated to other customers are likely to prove critical.  The CSA has these provisions.  However, if the Commission is not willing to adopt the CSA as a whole, it urgently needs to modify the PD to leave itself the option to adopt these kinds of measures as soon as it decides it is necessary.  As written, the PD appears to limit the Commission’s consideration of these kinds of provisions to some time after a report is prepared two years from adoption of the PD.  </w:t>
      </w:r>
    </w:p>
    <w:p>
      <w:pPr>
        <w:pStyle w:val="Normal"/>
        <w:spacing w:lineRule="auto" w:line="360"/>
        <w:ind w:firstLine="720" w:end="0"/>
        <w:rPr/>
      </w:pPr>
      <w:r>
        <w:rPr/>
        <w:t>In particular, the PD should at least be modified to allow the OFO Forum the flexibility to recommend revision of the balancing rules if it becomes clear that standby charges under the rules adopted by the PD are insufficient in the current, volatile gas market to incent large gas consumers to deliver monthly supply that is 90 percent or more of their monthly burns.  (The CSA allows for a $25 EFO charge that would deal with parties who consistently underdeliver supply despite the exhaustion of balancing assets and despite the institution of a $1 underdelivery OFO penalty.)</w:t>
      </w:r>
    </w:p>
    <w:p>
      <w:pPr>
        <w:pStyle w:val="Footer"/>
        <w:tabs>
          <w:tab w:val="clear" w:pos="4320"/>
          <w:tab w:val="clear" w:pos="8640"/>
        </w:tabs>
        <w:spacing w:lineRule="auto" w:line="360"/>
        <w:rPr/>
      </w:pPr>
      <w:r>
        <w:rPr/>
      </w:r>
    </w:p>
    <w:p>
      <w:pPr>
        <w:pStyle w:val="BodyTextIndent2"/>
        <w:spacing w:lineRule="auto" w:line="240"/>
        <w:rPr/>
      </w:pPr>
      <w:r>
        <w:rPr/>
        <w:tab/>
        <w:t xml:space="preserve">2. The core contribution to recovery of stranded interstate pipeline costs for capacity in excess of core requirements should not be terminated prior to January 1, 2002. </w:t>
      </w:r>
    </w:p>
    <w:p>
      <w:pPr>
        <w:pStyle w:val="BodyTextIndent2"/>
        <w:rPr>
          <w:rFonts w:eastAsia="Courier New"/>
        </w:rPr>
      </w:pPr>
      <w:r>
        <w:rPr>
          <w:rFonts w:eastAsia="Courier New"/>
        </w:rPr>
        <w:t xml:space="preserve"> </w:t>
      </w:r>
    </w:p>
    <w:p>
      <w:pPr>
        <w:pStyle w:val="Normal"/>
        <w:spacing w:lineRule="auto" w:line="360"/>
        <w:ind w:firstLine="720" w:end="0"/>
        <w:rPr/>
      </w:pPr>
      <w:r>
        <w:rPr/>
        <w:t>The PD (see pp.79-82) would terminate immediately on the adoption of the Commission’s decision the long-standing allocation to the core of a portion of stranded cost of interstate pipeline capacity held by SoCalGas in excess of its core requirements of 1044 MMcfd.</w:t>
      </w:r>
    </w:p>
    <w:p>
      <w:pPr>
        <w:pStyle w:val="Normal"/>
        <w:spacing w:lineRule="auto" w:line="360"/>
        <w:ind w:firstLine="720" w:end="0"/>
        <w:rPr/>
      </w:pPr>
      <w:r>
        <w:rPr/>
        <w:t>SoCalGas and SDG&amp;E believe that no such action should be implemented prior to January 1, 2002.  The Joint Recommendation adopted by the Commission in the SoCalGas/SDG&amp;E BCAP decided in April of this year (D.00-04-060) provided that no such action would be implemented before that date.  SoCalGas and SDG&amp;E recognize that in approving the JR, the Commission specifically reserved to itself the right to modify its terms in this gas industry restructuring proceeding.  However, this aspect of the JR was a provision that was negotiated by the parties to the JR as part of the quid pro quo that produced an overall agreement.  The Commission would significantly discourage negotiated resolutions of issues if it were to modify the JR on this one provision at this time.  Certainly, the JR in the BCAP helped to resolve a proceeding that was already very drawn out and might have taken many more months longer to resolve but for the JR.</w:t>
      </w:r>
    </w:p>
    <w:p>
      <w:pPr>
        <w:pStyle w:val="Normal"/>
        <w:spacing w:lineRule="auto" w:line="360"/>
        <w:ind w:firstLine="720" w:end="0"/>
        <w:rPr/>
      </w:pPr>
      <w:r>
        <w:rPr/>
        <w:t xml:space="preserve">Furthermore, </w:t>
      </w:r>
      <w:r>
        <w:rPr>
          <w:u w:val="single"/>
        </w:rPr>
        <w:t>no</w:t>
      </w:r>
      <w:r>
        <w:rPr/>
        <w:t xml:space="preserve"> party in this proceeding proposed ending prior to 2002 the allocation to the core of a portion of stranded costs from interstate capacity in excess of core requirements.  The CSA provides for ending this allocation on January 1, 2002.  The Post-interim Settlement also provides for ending this allocation on January 1, 2002.  Although the PD cites TURN’s brief and ORA’s testimony related to the amounts that the core market has already paid for the stranded cost of this capacity since 1993, neither of those two parties recommended termination of this allocation prior to January 1, 2002.  TURN is a signatory to the Post-Interim Settlement and ORA to the CSA, both of which do not take this step until January 1, 2002.  There is no record evidence to support changing this allocation prior to 2002.</w:t>
      </w:r>
    </w:p>
    <w:p>
      <w:pPr>
        <w:pStyle w:val="Normal"/>
        <w:spacing w:lineRule="auto" w:line="360"/>
        <w:ind w:firstLine="720" w:end="0"/>
        <w:rPr/>
      </w:pPr>
      <w:r>
        <w:rPr/>
      </w:r>
    </w:p>
    <w:p>
      <w:pPr>
        <w:pStyle w:val="BodyTextIndent2"/>
        <w:spacing w:lineRule="auto" w:line="240"/>
        <w:rPr/>
      </w:pPr>
      <w:r>
        <w:rPr/>
        <w:t>3.  The PD’s treatment of revenues from customers who switch from noncore to core status prior to the next BCAP is punitive and contrary to Commission precedent.</w:t>
      </w:r>
    </w:p>
    <w:p>
      <w:pPr>
        <w:pStyle w:val="Normal"/>
        <w:spacing w:lineRule="auto" w:line="360"/>
        <w:ind w:firstLine="720" w:end="0"/>
        <w:rPr/>
      </w:pPr>
      <w:r>
        <w:rPr/>
      </w:r>
    </w:p>
    <w:p>
      <w:pPr>
        <w:pStyle w:val="Normal"/>
        <w:spacing w:lineRule="auto" w:line="360"/>
        <w:ind w:firstLine="720" w:end="0"/>
        <w:rPr/>
      </w:pPr>
      <w:r>
        <w:rPr>
          <w:rFonts w:eastAsia="Courier New"/>
        </w:rPr>
        <w:t xml:space="preserve"> </w:t>
      </w:r>
      <w:r>
        <w:rPr/>
        <w:t>At pp.90-92, the PD adopts the provision of the CSA that would terminate the core subscription service offerings of SoCalGas and SDG&amp;E.</w:t>
      </w:r>
      <w:r>
        <w:rPr>
          <w:rStyle w:val="FootnoteCharacters"/>
          <w:rStyle w:val="FootnoteReference"/>
        </w:rPr>
        <w:footnoteReference w:id="5"/>
      </w:r>
      <w:r>
        <w:rPr/>
        <w:t xml:space="preserve">  Under this provision, noncore customers who wanted to continue to obtain procurement service from their serving utility would have to switch to full core (transportation and procurement) service in order to be able to obtain utility procurement service.  Thus, the closing of core subscription service may cause an increase in the switching of noncore customers to full core status.  However, the PD at p.91-92 rejects the portion of the CSA provision on this matter that allows SoCalGas to record in the Noncore Fixed Cost Account revenues from customers who have switched from noncore to core status, until the next BCAP becomes effective (scheduled for January 1, 2003).  The PD would record all such revenues in the Core Fixed Cost Account.</w:t>
      </w:r>
      <w:r>
        <w:rPr>
          <w:rStyle w:val="FootnoteCharacters"/>
          <w:rStyle w:val="FootnoteReference"/>
        </w:rPr>
        <w:footnoteReference w:id="6"/>
      </w:r>
    </w:p>
    <w:p>
      <w:pPr>
        <w:pStyle w:val="Normal"/>
        <w:spacing w:lineRule="auto" w:line="360"/>
        <w:ind w:firstLine="720" w:end="0"/>
        <w:rPr/>
      </w:pPr>
      <w:r>
        <w:rPr/>
        <w:t>For this BCAP cycle, SoCalGas is subject to partial (25%) risk/reward for differences between Commission-forecast and actual throughput from the noncore market.  By contrast, the core market is entirely “balanced”; SoCalGas will recover exactly the amount of cost the Commission authorized and allocated to the core class regardless of actual core throughput.</w:t>
      </w:r>
    </w:p>
    <w:p>
      <w:pPr>
        <w:pStyle w:val="Normal"/>
        <w:spacing w:lineRule="auto" w:line="360"/>
        <w:ind w:firstLine="720" w:end="0"/>
        <w:rPr/>
      </w:pPr>
      <w:r>
        <w:rPr/>
        <w:t xml:space="preserve">This structure means that, absent a special adjustment, if a customer who was included in the forecast for the noncore class at the time the currently-effective BCAP was adopted changes status to core, SoCalGas will bear a percentage of the resulting shortfall in noncore revenues, but will credit back to core ratepayers </w:t>
      </w:r>
      <w:r>
        <w:rPr>
          <w:u w:val="single"/>
        </w:rPr>
        <w:t>all</w:t>
      </w:r>
      <w:r>
        <w:rPr/>
        <w:t xml:space="preserve"> of the revenues from the customer who has become a core customer.  Not until forecasts are adjusted in the next BCAP will SoCalGas be made whole, prospectively, for this change in status.  Even though there is no change from BCAP forecast in the throughput, SoCalGas is made worse off by the ratemaking system by such a noncore-to-core switch.</w:t>
      </w:r>
    </w:p>
    <w:p>
      <w:pPr>
        <w:pStyle w:val="Normal"/>
        <w:spacing w:lineRule="auto" w:line="360"/>
        <w:ind w:firstLine="720" w:end="0"/>
        <w:rPr/>
      </w:pPr>
      <w:r>
        <w:rPr/>
        <w:t xml:space="preserve">The CSA contains a provision (Section 5.5.3) that allows SoCalGas to record revenues from the noncore-to-core customer in the NFCA, rather than the CFCA, until the next BCAP is effective.  The PD claims that this provision “benefits SoCalGas at the expense of the core.”  This claim is wrong on its face.  In fact, the PD’s selective rejection of this aspect of the CSA’s provision eliminating core subscription confers an unjustified windfall on the core at the expense of SoCalGas – and other noncore customers.  Why should other core be credited with 100% of the revenues from such customers?  The effect is to cause other core customers to pay less than the cost of service the Commission authorized and allocated to them.  The effect is also to cause SoCalGas to bear a 25% of the revenues that are not collected from the noncore market just because the customer has switched classes, even if the customer’s throughput is </w:t>
      </w:r>
      <w:r>
        <w:rPr>
          <w:u w:val="single"/>
        </w:rPr>
        <w:t>exactly</w:t>
      </w:r>
      <w:r>
        <w:rPr/>
        <w:t xml:space="preserve"> as forecast in the last BCAP.  Moreover, it means that remaining noncore customers are subsidizing core customers to the tune of 75% of Commission-forecast revenues from the customer.</w:t>
      </w:r>
    </w:p>
    <w:p>
      <w:pPr>
        <w:pStyle w:val="Normal"/>
        <w:spacing w:lineRule="auto" w:line="360"/>
        <w:ind w:firstLine="720" w:end="0"/>
        <w:rPr/>
      </w:pPr>
      <w:r>
        <w:rPr/>
        <w:t>It makes absolutely no sense to force SoCalGas and other noncore customers to incur a loss because of customers choosing to transfer from noncore to core status between BCAPs.</w:t>
      </w:r>
    </w:p>
    <w:p>
      <w:pPr>
        <w:pStyle w:val="Normal"/>
        <w:spacing w:lineRule="auto" w:line="360"/>
        <w:ind w:firstLine="720" w:end="0"/>
        <w:rPr/>
      </w:pPr>
      <w:r>
        <w:rPr/>
        <w:t>SoCalGas has no objection to clarification that it would record to the SoCalGas NFCA only the revenues that would be generated under noncore transportation rates for the throughput of the customers who switch from core to noncore.  Revenues associated with the amount by which the core transportation rates paid by these customers exceeds noncore transportation rates can be credited to the CFCA.</w:t>
      </w:r>
    </w:p>
    <w:p>
      <w:pPr>
        <w:pStyle w:val="Normal"/>
        <w:spacing w:lineRule="auto" w:line="360"/>
        <w:ind w:firstLine="720" w:end="0"/>
        <w:rPr/>
      </w:pPr>
      <w:r>
        <w:rPr/>
        <w:t>The position advocated by SoCalGas has firm precedent in prior Commission resolutions and decisions.  In SoCalGas’ 1993 BCAP, the Commission agreed that “core” revenues arising out of noncore-to-core transfers should be treated at noncore revenues until the next cost allocation proceeding.  See D.94-12-052, Finding 3 (58 CalPUC2d 306).  The PD provides no basis for distinguishing the present circumstance from that precedent.</w:t>
      </w:r>
    </w:p>
    <w:p>
      <w:pPr>
        <w:pStyle w:val="Normal"/>
        <w:spacing w:lineRule="auto" w:line="360"/>
        <w:ind w:firstLine="720" w:end="0"/>
        <w:rPr/>
      </w:pPr>
      <w:r>
        <w:rPr/>
        <w:t>If a regulatory change were expected to trigger core-to-noncore migration, one can be sure the Commission would not allow SoCalGas to reap a windfall by an increase in noncore revenues that were not “balanced” at the expense of core revenues that were “balanced”.  In fact, the Commission has previously acted to keep revenues in the core fixed account in such just this situation in Resolutions G-2796 (Finding 4) and G-2839 (Ordering Paragraph 4).  The PD’s treatment of noncore-to-core migration is unprincipled opportunism directly contrary to its precedent.</w:t>
      </w:r>
    </w:p>
    <w:p>
      <w:pPr>
        <w:pStyle w:val="Normal"/>
        <w:spacing w:lineRule="auto" w:line="360"/>
        <w:ind w:firstLine="720" w:end="0"/>
        <w:rPr/>
      </w:pPr>
      <w:r>
        <w:rPr/>
      </w:r>
    </w:p>
    <w:p>
      <w:pPr>
        <w:pStyle w:val="BodyTextIndent2"/>
        <w:spacing w:lineRule="auto" w:line="240"/>
        <w:rPr/>
      </w:pPr>
      <w:r>
        <w:rPr/>
        <w:t>4.  The PD should be modified with respect to the triggering event that would allow SoCalGas and SDG&amp;E to apply for recovery of additional costs to cope with increased core customer election of core aggregation service.</w:t>
      </w:r>
    </w:p>
    <w:p>
      <w:pPr>
        <w:pStyle w:val="Normal"/>
        <w:spacing w:lineRule="auto" w:line="360"/>
        <w:ind w:firstLine="720" w:end="0"/>
        <w:rPr/>
      </w:pPr>
      <w:r>
        <w:rPr/>
      </w:r>
    </w:p>
    <w:p>
      <w:pPr>
        <w:pStyle w:val="Normal"/>
        <w:spacing w:lineRule="auto" w:line="360"/>
        <w:ind w:firstLine="720" w:end="0"/>
        <w:rPr/>
      </w:pPr>
      <w:r>
        <w:rPr/>
        <w:t>The PD at p.95 provides that SoCalGas and SDG&amp;E may file an application for recovery of increased costs in rates if core customer elections of core aggregation service reach 8% of total core volume.  The PD says that based on SoCalGas figures, the 8% level will be reached when there are approximately 50,000 core customers in the core aggregation program.  The PD would not otherwise allow for SoCalGas or SDG&amp;E to recover prior to their TY 2003 PBR/Cost-of-service proceedings the increased costs that may arise out of the PD’s adoption of some of the “retail” provisions of the CSA.</w:t>
      </w:r>
    </w:p>
    <w:p>
      <w:pPr>
        <w:pStyle w:val="Normal"/>
        <w:spacing w:lineRule="auto" w:line="360"/>
        <w:ind w:firstLine="720" w:end="0"/>
        <w:rPr/>
      </w:pPr>
      <w:r>
        <w:rPr/>
        <w:t>SoCalGas and SDG&amp;E believe that the intent of the PD on this point is reasonable and acceptable.  However, the PD’s description of the triggering event allowing such a filing ought to be slightly modified.  The principal driver of such administrative costs is the number of transactions, not the volume of gas that elects core aggregation service. Therefore, because the PD states that it anticipates its 8% threshold is equivalent to about 50,000 SoCalGas core aggregation customers, SoCalGas and SDG&amp;E propose that the PD be modified to adopt that number of customers – not 8% by throughput volume – as the even that would allow such an application to be filed.  SoCalGas and SDG&amp;E propose that 10,000 be the threshold for SDG&amp;E.</w:t>
      </w:r>
      <w:r>
        <w:rPr>
          <w:rStyle w:val="FootnoteCharacters"/>
          <w:rStyle w:val="FootnoteReference"/>
        </w:rPr>
        <w:footnoteReference w:id="7"/>
      </w:r>
    </w:p>
    <w:p>
      <w:pPr>
        <w:pStyle w:val="Normal"/>
        <w:spacing w:lineRule="auto" w:line="360"/>
        <w:ind w:firstLine="720" w:end="0"/>
        <w:rPr/>
      </w:pPr>
      <w:r>
        <w:rPr/>
      </w:r>
    </w:p>
    <w:p>
      <w:pPr>
        <w:pStyle w:val="BodyTextIndent2"/>
        <w:spacing w:lineRule="auto" w:line="240"/>
        <w:rPr/>
      </w:pPr>
      <w:r>
        <w:rPr/>
        <w:tab/>
        <w:t>5.  SoCalGas will require additional time to implement the Interim Settlement.</w:t>
      </w:r>
    </w:p>
    <w:p>
      <w:pPr>
        <w:pStyle w:val="Normal"/>
        <w:spacing w:lineRule="auto" w:line="360"/>
        <w:ind w:firstLine="720" w:end="0"/>
        <w:rPr/>
      </w:pPr>
      <w:r>
        <w:rPr/>
      </w:r>
    </w:p>
    <w:p>
      <w:pPr>
        <w:pStyle w:val="Normal"/>
        <w:spacing w:lineRule="auto" w:line="360"/>
        <w:ind w:firstLine="720" w:end="0"/>
        <w:rPr/>
      </w:pPr>
      <w:r>
        <w:rPr/>
        <w:t>The Interim Settlement in Section IX (which is not modified by the PD) provides that it will be implemented on the first of the second month following the month in which it is approved; i.e., if approved on March 15, it would be effective May 1.</w:t>
      </w:r>
    </w:p>
    <w:p>
      <w:pPr>
        <w:pStyle w:val="Normal"/>
        <w:spacing w:lineRule="auto" w:line="360"/>
        <w:ind w:firstLine="720" w:end="0"/>
        <w:rPr/>
      </w:pPr>
      <w:r>
        <w:rPr/>
        <w:t>Unfortunately, due to unforeseeable developments since the Interim Settlement was filed almost one year ago, SoCalGas is not now able to implement the terms of the Interim Settlement on this schedule.  At this time, SoCalGas will require six months from the issuance of a Commission decision adopting the Interim Settlement to be able to implement all its provisions.</w:t>
      </w:r>
      <w:r>
        <w:rPr>
          <w:rStyle w:val="FootnoteCharacters"/>
          <w:rStyle w:val="FootnoteReference"/>
        </w:rPr>
        <w:footnoteReference w:id="8"/>
      </w:r>
    </w:p>
    <w:p>
      <w:pPr>
        <w:pStyle w:val="Normal"/>
        <w:spacing w:lineRule="auto" w:line="360"/>
        <w:ind w:firstLine="720" w:end="0"/>
        <w:rPr/>
      </w:pPr>
      <w:r>
        <w:rPr/>
        <w:t>At the time the Interim Settlement was filed in December 1997, SoCalGas anticipated that it would have approximately 6 months to prepare to implement it.  This would have allowed 30 days for comments on the settlement, approximately 45 days for preparation of a PD, approximately 60 days for Commission action on a PD, and approximately another 45 days before the Interim Settlement became effective.</w:t>
      </w:r>
    </w:p>
    <w:p>
      <w:pPr>
        <w:pStyle w:val="Normal"/>
        <w:spacing w:lineRule="auto" w:line="360"/>
        <w:ind w:firstLine="720" w:end="0"/>
        <w:rPr/>
      </w:pPr>
      <w:r>
        <w:rPr/>
        <w:t>However, shortly after its filing, the parties were directed to attempt to come up with a settlement that implemented more of the Promising Options identified by the Commission in D.99-07-015.  SoCalGas’ then discontinued its efforts to prepare to implement the Interim Settlement. No programming to support the implementation of the Interim Settlement had been completed.  After reaching agreement on the CSA, SoCalGas management turned its focus to preparing for the implementation of the much-different CSA.  Until the PD was issued on November 21, SoCalGas was focusing exclusively preparing to implement the CSA.</w:t>
      </w:r>
    </w:p>
    <w:p>
      <w:pPr>
        <w:pStyle w:val="Normal"/>
        <w:spacing w:lineRule="auto" w:line="360"/>
        <w:ind w:firstLine="720" w:end="0"/>
        <w:rPr/>
      </w:pPr>
      <w:r>
        <w:rPr/>
        <w:t>The time necessary to implement the Interim Settlement is now also impacted by other unrelated changes that SoCalGas is making to its noncore billing system that would not have interfered had the Interim Settlement been processed to decision when it was originally filed.  SoCalGas is in the process of replacing its current Noncore Billing System (NCBS) with a new billing application, the Phoenix Billing System (Phoenix) on December 15, 2000.  As is typical with any other major computer application deployment, the deployment of Phoenix will be followed by a multi-month “storm” period to ensure a smooth transition.  Business and technical experts will necessarily be focused on the implementation of Phoenix, making it impossible to divert their time to implementation of the Interim Settlement without potentially jeopardizing the accuracy of noncore billing under the roll-out of Phoenix.</w:t>
      </w:r>
    </w:p>
    <w:p>
      <w:pPr>
        <w:pStyle w:val="Normal"/>
        <w:spacing w:lineRule="auto" w:line="360"/>
        <w:ind w:firstLine="720" w:end="0"/>
        <w:rPr/>
      </w:pPr>
      <w:r>
        <w:rPr/>
        <w:t>The only alternative that SoCalGas has been able to identify for the Commission’s consideration is implementation of the Interim Settlement in two phases.  The first phase could be implemented no sooner than four months after approval of the Interim Settlement.  The first phase would consist of all portions of the Interim Settlement adopted by the PD, with the exception of Sections IV, V and VI.  These three sections could be implemented as a second phase six months after Commission approval.  If this alternative were approved, SoCalGas’ current transportation balancing provisions would remain in effect until the implementation of the second phase, six months after Commission approval.</w:t>
      </w:r>
    </w:p>
    <w:p>
      <w:pPr>
        <w:pStyle w:val="Normal"/>
        <w:spacing w:lineRule="auto" w:line="360"/>
        <w:ind w:firstLine="720" w:end="0"/>
        <w:rPr/>
      </w:pPr>
      <w:r>
        <w:rPr/>
      </w:r>
    </w:p>
    <w:p>
      <w:pPr>
        <w:pStyle w:val="Footer"/>
        <w:tabs>
          <w:tab w:val="clear" w:pos="4320"/>
          <w:tab w:val="clear" w:pos="8640"/>
        </w:tabs>
        <w:spacing w:lineRule="auto" w:line="360"/>
        <w:rPr/>
      </w:pPr>
      <w:r>
        <w:rPr/>
        <w:tab/>
        <w:tab/>
        <w:tab/>
        <w:tab/>
        <w:tab/>
        <w:t>Respectfully submitted,</w:t>
      </w:r>
    </w:p>
    <w:p>
      <w:pPr>
        <w:pStyle w:val="Footer"/>
        <w:tabs>
          <w:tab w:val="clear" w:pos="4320"/>
          <w:tab w:val="clear" w:pos="8640"/>
        </w:tabs>
        <w:spacing w:lineRule="auto" w:line="360"/>
        <w:rPr/>
      </w:pPr>
      <w:r>
        <w:rPr/>
      </w:r>
    </w:p>
    <w:p>
      <w:pPr>
        <w:pStyle w:val="Footer"/>
        <w:tabs>
          <w:tab w:val="clear" w:pos="4320"/>
          <w:tab w:val="clear" w:pos="8640"/>
        </w:tabs>
        <w:rPr/>
      </w:pPr>
      <w:r>
        <w:rPr/>
        <w:tab/>
        <w:tab/>
        <w:tab/>
        <w:tab/>
        <w:tab/>
        <w:t>SOUTHERN CALIFORNIA GAS COMPANY</w:t>
      </w:r>
    </w:p>
    <w:p>
      <w:pPr>
        <w:pStyle w:val="Footer"/>
        <w:tabs>
          <w:tab w:val="clear" w:pos="4320"/>
          <w:tab w:val="clear" w:pos="8640"/>
        </w:tabs>
        <w:rPr/>
      </w:pPr>
      <w:r>
        <w:rPr/>
        <w:tab/>
        <w:tab/>
        <w:tab/>
        <w:tab/>
        <w:tab/>
        <w:t>SAN DIEGO GAS &amp; ELECTRIC COMPANY</w:t>
      </w:r>
    </w:p>
    <w:p>
      <w:pPr>
        <w:pStyle w:val="Footer"/>
        <w:tabs>
          <w:tab w:val="clear" w:pos="4320"/>
          <w:tab w:val="clear" w:pos="8640"/>
        </w:tabs>
        <w:spacing w:lineRule="auto" w:line="360"/>
        <w:rPr/>
      </w:pPr>
      <w:r>
        <w:rPr/>
      </w:r>
    </w:p>
    <w:p>
      <w:pPr>
        <w:pStyle w:val="Footer"/>
        <w:tabs>
          <w:tab w:val="clear" w:pos="4320"/>
          <w:tab w:val="clear" w:pos="8640"/>
        </w:tabs>
        <w:spacing w:lineRule="auto" w:line="360"/>
        <w:rPr/>
      </w:pPr>
      <w:r>
        <w:rPr/>
        <w:t xml:space="preserve">December 11, 2000  </w:t>
        <w:tab/>
        <w:tab/>
        <w:t>By:______________________________</w:t>
      </w:r>
    </w:p>
    <w:p>
      <w:pPr>
        <w:pStyle w:val="Footer"/>
        <w:tabs>
          <w:tab w:val="clear" w:pos="4320"/>
          <w:tab w:val="clear" w:pos="8640"/>
        </w:tabs>
        <w:spacing w:lineRule="auto" w:line="360"/>
        <w:rPr/>
      </w:pPr>
      <w:r>
        <w:rPr/>
        <w:tab/>
        <w:tab/>
        <w:tab/>
        <w:tab/>
        <w:tab/>
        <w:tab/>
        <w:t xml:space="preserve">  Glen J. Sullivan</w:t>
      </w:r>
    </w:p>
    <w:p>
      <w:pPr>
        <w:pStyle w:val="Footer"/>
        <w:tabs>
          <w:tab w:val="clear" w:pos="4320"/>
          <w:tab w:val="clear" w:pos="8640"/>
        </w:tabs>
        <w:spacing w:lineRule="auto" w:line="360"/>
        <w:rPr/>
      </w:pPr>
      <w:r>
        <w:rPr/>
      </w:r>
    </w:p>
    <w:p>
      <w:pPr>
        <w:pStyle w:val="Footer"/>
        <w:tabs>
          <w:tab w:val="clear" w:pos="4320"/>
          <w:tab w:val="clear" w:pos="8640"/>
        </w:tabs>
        <w:rPr/>
      </w:pPr>
      <w:r>
        <w:rPr/>
        <w:tab/>
        <w:tab/>
        <w:tab/>
        <w:tab/>
        <w:tab/>
        <w:t>Sempra Energy Law Department</w:t>
      </w:r>
    </w:p>
    <w:p>
      <w:pPr>
        <w:pStyle w:val="Footer"/>
        <w:tabs>
          <w:tab w:val="clear" w:pos="4320"/>
          <w:tab w:val="clear" w:pos="8640"/>
        </w:tabs>
        <w:rPr/>
      </w:pPr>
      <w:r>
        <w:rPr/>
        <w:tab/>
        <w:tab/>
        <w:tab/>
        <w:tab/>
        <w:tab/>
        <w:t>101 Ash Street</w:t>
      </w:r>
    </w:p>
    <w:p>
      <w:pPr>
        <w:pStyle w:val="Footer"/>
        <w:tabs>
          <w:tab w:val="clear" w:pos="4320"/>
          <w:tab w:val="clear" w:pos="8640"/>
        </w:tabs>
        <w:rPr/>
      </w:pPr>
      <w:r>
        <w:rPr/>
        <w:tab/>
        <w:tab/>
        <w:tab/>
        <w:tab/>
        <w:tab/>
        <w:t>San Diego, California  92101</w:t>
      </w:r>
    </w:p>
    <w:p>
      <w:pPr>
        <w:pStyle w:val="Footer"/>
        <w:tabs>
          <w:tab w:val="clear" w:pos="4320"/>
          <w:tab w:val="clear" w:pos="8640"/>
        </w:tabs>
        <w:rPr/>
      </w:pPr>
      <w:r>
        <w:rPr/>
        <w:tab/>
        <w:tab/>
        <w:tab/>
        <w:tab/>
        <w:tab/>
        <w:t>Telephone:  (619) 699-5162</w:t>
      </w:r>
    </w:p>
    <w:p>
      <w:pPr>
        <w:pStyle w:val="Footer"/>
        <w:tabs>
          <w:tab w:val="clear" w:pos="4320"/>
          <w:tab w:val="clear" w:pos="8640"/>
        </w:tabs>
        <w:rPr/>
      </w:pPr>
      <w:r>
        <w:rPr/>
        <w:tab/>
        <w:tab/>
        <w:tab/>
        <w:tab/>
        <w:tab/>
        <w:t>Fax:  (619) 699-5027</w:t>
      </w:r>
    </w:p>
    <w:p>
      <w:pPr>
        <w:pStyle w:val="Footer"/>
        <w:tabs>
          <w:tab w:val="clear" w:pos="4320"/>
          <w:tab w:val="clear" w:pos="8640"/>
        </w:tabs>
        <w:rPr/>
      </w:pPr>
      <w:r>
        <w:rPr/>
        <w:tab/>
        <w:tab/>
        <w:tab/>
        <w:tab/>
        <w:tab/>
        <w:t>E-mail:  gsullivan@sempra.com</w:t>
      </w:r>
    </w:p>
    <w:p>
      <w:pPr>
        <w:pStyle w:val="Footer"/>
        <w:tabs>
          <w:tab w:val="clear" w:pos="4320"/>
          <w:tab w:val="clear" w:pos="8640"/>
        </w:tabs>
        <w:rPr/>
      </w:pPr>
      <w:r>
        <w:rPr/>
        <w:tab/>
        <w:tab/>
        <w:tab/>
        <w:tab/>
        <w:tab/>
        <w:t>Attorney for</w:t>
      </w:r>
    </w:p>
    <w:p>
      <w:pPr>
        <w:pStyle w:val="Footer"/>
        <w:tabs>
          <w:tab w:val="clear" w:pos="4320"/>
          <w:tab w:val="clear" w:pos="8640"/>
        </w:tabs>
        <w:rPr/>
      </w:pPr>
      <w:r>
        <w:rPr/>
        <w:tab/>
        <w:tab/>
        <w:tab/>
        <w:tab/>
        <w:tab/>
        <w:t>Southern California Gas Company</w:t>
      </w:r>
    </w:p>
    <w:p>
      <w:pPr>
        <w:pStyle w:val="Footer"/>
        <w:tabs>
          <w:tab w:val="clear" w:pos="4320"/>
          <w:tab w:val="clear" w:pos="8640"/>
        </w:tabs>
        <w:rPr/>
      </w:pPr>
      <w:r>
        <w:rPr/>
        <w:tab/>
        <w:tab/>
        <w:tab/>
        <w:tab/>
        <w:tab/>
        <w:t>and San Diego Gas &amp; Electric Co.</w:t>
      </w:r>
    </w:p>
    <w:p>
      <w:pPr>
        <w:pStyle w:val="Footer"/>
        <w:tabs>
          <w:tab w:val="clear" w:pos="4320"/>
          <w:tab w:val="clear" w:pos="8640"/>
        </w:tabs>
        <w:rPr/>
      </w:pPr>
      <w:r>
        <w:rPr/>
      </w:r>
    </w:p>
    <w:sectPr>
      <w:footerReference w:type="default" r:id="rId2"/>
      <w:footerReference w:type="first" r:id="rId3"/>
      <w:footnotePr>
        <w:numFmt w:val="decimal"/>
      </w:footnotePr>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4">
              <wp:simplePos x="0" y="0"/>
              <wp:positionH relativeFrom="margin">
                <wp:align>center</wp:align>
              </wp:positionH>
              <wp:positionV relativeFrom="paragraph">
                <wp:posOffset>635</wp:posOffset>
              </wp:positionV>
              <wp:extent cx="183515" cy="172720"/>
              <wp:effectExtent l="0" t="0" r="0" b="0"/>
              <wp:wrapSquare wrapText="bothSides"/>
              <wp:docPr id="1" name="Frame1"/>
              <a:graphic xmlns:a="http://schemas.openxmlformats.org/drawingml/2006/main">
                <a:graphicData uri="http://schemas.microsoft.com/office/word/2010/wordprocessingShape">
                  <wps:wsp>
                    <wps:cNvSpPr txBox="1"/>
                    <wps:spPr>
                      <a:xfrm>
                        <a:off x="0" y="0"/>
                        <a:ext cx="183515" cy="17272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4.45pt;height:13.6pt;mso-wrap-distance-left:0pt;mso-wrap-distance-right:0pt;mso-wrap-distance-top:0pt;mso-wrap-distance-bottom:0pt;margin-top:0.05pt;mso-position-vertical-relative:text;margin-left:208.8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Since the record closed, the market price obtainable for brokered interstate capacity has greatly increased, thus reducing stranded costs.  Whether this condition will persist is speculative.</w:t>
      </w:r>
    </w:p>
  </w:footnote>
  <w:footnote w:id="3">
    <w:p>
      <w:pPr>
        <w:pStyle w:val="FootnoteText"/>
        <w:rPr/>
      </w:pPr>
      <w:r>
        <w:rPr>
          <w:rStyle w:val="FootnoteCharacters"/>
        </w:rPr>
        <w:footnoteRef/>
      </w:r>
      <w:r>
        <w:rPr/>
        <w:t xml:space="preserve"> </w:t>
      </w:r>
      <w:r>
        <w:rPr/>
        <w:t>A more detailed calculation is appended to these comments (which are still within the 25 page limit including the appendix).</w:t>
      </w:r>
    </w:p>
  </w:footnote>
  <w:footnote w:id="4">
    <w:p>
      <w:pPr>
        <w:pStyle w:val="FootnoteText"/>
        <w:rPr/>
      </w:pPr>
      <w:r>
        <w:rPr>
          <w:rStyle w:val="FootnoteCharacters"/>
        </w:rPr>
        <w:footnoteRef/>
      </w:r>
      <w:r>
        <w:rPr/>
        <w:t xml:space="preserve"> </w:t>
      </w:r>
      <w:r>
        <w:rPr/>
        <w:t>SoCalGas continues to seek to reverse or modify this FERC decision.</w:t>
      </w:r>
    </w:p>
  </w:footnote>
  <w:footnote w:id="5">
    <w:p>
      <w:pPr>
        <w:pStyle w:val="FootnoteText"/>
        <w:rPr/>
      </w:pPr>
      <w:r>
        <w:rPr>
          <w:rStyle w:val="FootnoteCharacters"/>
        </w:rPr>
        <w:footnoteRef/>
      </w:r>
      <w:r>
        <w:rPr/>
        <w:t xml:space="preserve"> </w:t>
      </w:r>
      <w:r>
        <w:rPr/>
        <w:t>Recent developments in the gas market have made SoCalGas’ core portfolio very attractive.  The Commission may need to deal on an urgent basis with the potential impact on true core customers of increased requests by noncore customers for core subscription or full bundled core service.</w:t>
      </w:r>
    </w:p>
  </w:footnote>
  <w:footnote w:id="6">
    <w:p>
      <w:pPr>
        <w:pStyle w:val="FootnoteText"/>
        <w:rPr/>
      </w:pPr>
      <w:r>
        <w:rPr>
          <w:rStyle w:val="FootnoteCharacters"/>
        </w:rPr>
        <w:footnoteRef/>
      </w:r>
      <w:r>
        <w:rPr/>
        <w:t xml:space="preserve"> </w:t>
      </w:r>
      <w:r>
        <w:rPr/>
        <w:t>This is not an issue for SDG&amp;E because it is not subject to any “balancing account” treatment on its core or its noncore gas markets as a result of its last PBR decision, D.99-05-030.</w:t>
      </w:r>
    </w:p>
  </w:footnote>
  <w:footnote w:id="7">
    <w:p>
      <w:pPr>
        <w:pStyle w:val="FootnoteText"/>
        <w:rPr/>
      </w:pPr>
      <w:r>
        <w:rPr>
          <w:rStyle w:val="FootnoteCharacters"/>
        </w:rPr>
        <w:footnoteRef/>
      </w:r>
      <w:r>
        <w:rPr/>
        <w:t xml:space="preserve"> </w:t>
      </w:r>
      <w:r>
        <w:rPr/>
        <w:t>The 10,000 customer threshold for SDG&amp;E is conservative.  SDG&amp;E has more than one-fifth the number of customers than SoCalGas, so 10,000 customers is a slightly higher relative threshold for SDG&amp;E than for SoCalGas.</w:t>
      </w:r>
    </w:p>
  </w:footnote>
  <w:footnote w:id="8">
    <w:p>
      <w:pPr>
        <w:pStyle w:val="FootnoteText"/>
        <w:rPr/>
      </w:pPr>
      <w:r>
        <w:rPr>
          <w:rStyle w:val="FootnoteCharacters"/>
        </w:rPr>
        <w:footnoteRef/>
      </w:r>
      <w:r>
        <w:rPr/>
        <w:t xml:space="preserve"> </w:t>
      </w:r>
      <w:r>
        <w:rPr/>
        <w:t>These comments relate to implementing only the provisions of the Interim Settlement by SoCalGas, not SDG&amp;E.  These comments do not seek a delay in implementation of provisions of the PD that are not part of the Interim Settlement.</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2025"/>
        </w:tabs>
        <w:ind w:start="2025" w:hanging="585"/>
      </w:pPr>
      <w:rPr/>
    </w:lvl>
  </w:abstractNum>
  <w:abstractNum w:abstractNumId="2">
    <w:lvl w:ilvl="0">
      <w:start w:val="1"/>
      <w:numFmt w:val="decimal"/>
      <w:lvlText w:val="%1."/>
      <w:lvlJc w:val="start"/>
      <w:pPr>
        <w:tabs>
          <w:tab w:val="num" w:pos="1305"/>
        </w:tabs>
        <w:ind w:start="1305" w:hanging="585"/>
      </w:pPr>
      <w:rPr/>
    </w:lvl>
  </w:abstractNum>
  <w:abstractNum w:abstractNumId="3">
    <w:lvl w:ilvl="0">
      <w:start w:val="1"/>
      <w:numFmt w:val="upperRoman"/>
      <w:lvlText w:val="%1."/>
      <w:lvlJc w:val="start"/>
      <w:pPr>
        <w:tabs>
          <w:tab w:val="num" w:pos="720"/>
        </w:tabs>
        <w:ind w:start="720" w:hanging="720"/>
      </w:pPr>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New" w:hAnsi="Courier New" w:eastAsia="Times New Roman" w:cs="Courier New"/>
      <w:color w:val="auto"/>
      <w:sz w:val="24"/>
      <w:szCs w:val="20"/>
      <w:lang w:val="en-US" w:eastAsia="zh-CN" w:bidi="hi-I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rPr>
  </w:style>
  <w:style w:type="paragraph" w:styleId="BodyText">
    <w:name w:val="Body Text"/>
    <w:basedOn w:val="Normal"/>
    <w:pPr>
      <w:spacing w:lineRule="auto" w:line="360"/>
      <w:jc w:val="center"/>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spacing w:lineRule="auto" w:line="360"/>
      <w:ind w:firstLine="720" w:start="0" w:end="0"/>
    </w:pPr>
    <w:rPr/>
  </w:style>
  <w:style w:type="paragraph" w:styleId="FootnoteText">
    <w:name w:val="footnote text"/>
    <w:basedOn w:val="Normal"/>
    <w:pPr/>
    <w:rPr>
      <w:sz w:val="20"/>
    </w:rPr>
  </w:style>
  <w:style w:type="paragraph" w:styleId="BodyTextIndent2">
    <w:name w:val="Body Text Indent 2"/>
    <w:basedOn w:val="Normal"/>
    <w:qFormat/>
    <w:pPr>
      <w:spacing w:lineRule="auto" w:line="360"/>
      <w:ind w:firstLine="720" w:start="0" w:end="0"/>
    </w:pPr>
    <w:rPr>
      <w:b/>
    </w:rPr>
  </w:style>
  <w:style w:type="paragraph" w:styleId="BodyTextIndent3">
    <w:name w:val="Body Text Indent 3"/>
    <w:basedOn w:val="Normal"/>
    <w:qFormat/>
    <w:pPr>
      <w:spacing w:lineRule="auto" w:line="360"/>
      <w:ind w:firstLine="1440" w:start="0" w:end="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2000-12-11T13:47:00Z</dcterms:created>
  <dc:creator>Sempra Energy</dc:creator>
  <dc:description/>
  <dc:language>en-CA</dc:language>
  <cp:lastModifiedBy>Sempra Energy</cp:lastModifiedBy>
  <dcterms:modified xsi:type="dcterms:W3CDTF">2000-12-11T20:42:00Z</dcterms:modified>
  <cp:revision>5</cp:revision>
  <dc:subject/>
  <dc:title>COMMENTS OF</dc:title>
</cp:coreProperties>
</file>