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jc w:val="center"/>
        <w:rPr>
          <w:b/>
        </w:rPr>
      </w:pPr>
      <w:r>
        <w:rPr>
          <w:b/>
        </w:rPr>
      </w:r>
    </w:p>
    <w:p>
      <w:pPr>
        <w:pStyle w:val="Normal"/>
        <w:jc w:val="center"/>
        <w:rPr>
          <w:b/>
        </w:rPr>
      </w:pPr>
      <w:r>
        <w:rPr>
          <w:b/>
        </w:rPr>
      </w:r>
    </w:p>
    <w:p>
      <w:pPr>
        <w:pStyle w:val="BodyText"/>
        <w:rPr>
          <w:b/>
        </w:rPr>
      </w:pPr>
      <w:r>
        <w:rPr>
          <w:b/>
        </w:rPr>
        <w:t>Investigation on the Commission’s Own Motion  )</w:t>
      </w:r>
    </w:p>
    <w:p>
      <w:pPr>
        <w:pStyle w:val="BodyText"/>
        <w:rPr>
          <w:b/>
        </w:rPr>
      </w:pPr>
      <w:r>
        <w:rPr>
          <w:b/>
        </w:rPr>
        <w:t>To Consider the Costs and Benefits of Various ) I.99-07-003</w:t>
      </w:r>
    </w:p>
    <w:p>
      <w:pPr>
        <w:pStyle w:val="BodyText"/>
        <w:rPr>
          <w:b/>
        </w:rPr>
      </w:pPr>
      <w:r>
        <w:rPr>
          <w:b/>
        </w:rPr>
        <w:t>Promising Revisions to the Regulatory and     )</w:t>
      </w:r>
    </w:p>
    <w:p>
      <w:pPr>
        <w:pStyle w:val="BodyText"/>
        <w:rPr>
          <w:b/>
        </w:rPr>
      </w:pPr>
      <w:r>
        <w:rPr>
          <w:b/>
        </w:rPr>
        <w:t>Market Structure Governing California’s       )</w:t>
      </w:r>
    </w:p>
    <w:p>
      <w:pPr>
        <w:pStyle w:val="BodyText"/>
        <w:rPr>
          <w:b/>
        </w:rPr>
      </w:pPr>
      <w:r>
        <w:rPr>
          <w:b/>
        </w:rPr>
        <w:t>Natural Gas Industry and to Report to the     )</w:t>
      </w:r>
    </w:p>
    <w:p>
      <w:pPr>
        <w:pStyle w:val="BodyText"/>
        <w:rPr>
          <w:b/>
        </w:rPr>
      </w:pPr>
      <w:r>
        <w:rPr>
          <w:b/>
        </w:rPr>
        <w:t>California Legislature on the Commission’s    )</w:t>
      </w:r>
    </w:p>
    <w:p>
      <w:pPr>
        <w:pStyle w:val="BodyText"/>
        <w:rPr>
          <w:b/>
        </w:rPr>
      </w:pPr>
      <w:r>
        <w:rPr>
          <w:b/>
        </w:rPr>
        <w:t>Findings                                      )</w:t>
      </w:r>
    </w:p>
    <w:p>
      <w:pPr>
        <w:pStyle w:val="BodyText"/>
        <w:rPr>
          <w:b/>
        </w:rPr>
      </w:pPr>
      <w:r>
        <w:rPr>
          <w:b/>
        </w:rPr>
        <w:t>______________________________________________)</w:t>
      </w:r>
    </w:p>
    <w:p>
      <w:pPr>
        <w:pStyle w:val="Normal"/>
        <w:jc w:val="center"/>
        <w:rPr>
          <w:b/>
        </w:rPr>
      </w:pPr>
      <w:r>
        <w:rPr>
          <w:b/>
        </w:rPr>
      </w:r>
    </w:p>
    <w:p>
      <w:pPr>
        <w:pStyle w:val="Normal"/>
        <w:jc w:val="center"/>
        <w:rPr>
          <w:b/>
        </w:rPr>
      </w:pPr>
      <w:r>
        <w:rPr>
          <w:b/>
        </w:rPr>
      </w:r>
    </w:p>
    <w:p>
      <w:pPr>
        <w:pStyle w:val="Normal"/>
        <w:jc w:val="center"/>
        <w:rPr>
          <w:b/>
        </w:rPr>
      </w:pPr>
      <w:r>
        <w:rPr>
          <w:b/>
        </w:rPr>
        <w:t>ERRATA TO COMPREHENSIVE SETTLEMENT</w:t>
      </w:r>
    </w:p>
    <w:p>
      <w:pPr>
        <w:pStyle w:val="Normal"/>
        <w:jc w:val="center"/>
        <w:rPr>
          <w:b/>
        </w:rPr>
      </w:pPr>
      <w:r>
        <w:rPr>
          <w:b/>
        </w:rPr>
        <w:t>FILED PURSUANT TO RULING OF ALJ BIREN</w:t>
      </w:r>
    </w:p>
    <w:p>
      <w:pPr>
        <w:pStyle w:val="Normal"/>
        <w:jc w:val="center"/>
        <w:rPr>
          <w:b/>
        </w:rPr>
      </w:pPr>
      <w:r>
        <w:rPr>
          <w:b/>
        </w:rPr>
      </w:r>
    </w:p>
    <w:p>
      <w:pPr>
        <w:pStyle w:val="Normal"/>
        <w:jc w:val="center"/>
        <w:rPr>
          <w:b/>
        </w:rPr>
      </w:pPr>
      <w:r>
        <w:rPr>
          <w:b/>
        </w:rPr>
      </w:r>
    </w:p>
    <w:p>
      <w:pPr>
        <w:pStyle w:val="Normal"/>
        <w:spacing w:lineRule="auto" w:line="360"/>
        <w:rPr/>
      </w:pPr>
      <w:r>
        <w:rPr>
          <w:b/>
        </w:rPr>
        <w:tab/>
        <w:tab/>
      </w:r>
      <w:r>
        <w:rPr/>
        <w:t>The signatories to the Comprehensive Settlement filed April 17, 2000, in this investigation, pursuant to the oral ruling of ALJ Biren at the April 24, 2000, Prehearing Conference, and her subsequent written ruling, hereby file a revised version (“errata”) of the Comprehensive Settlement correcting minor errors in the version as filed with the Commission on April 17, 2000.</w:t>
      </w:r>
    </w:p>
    <w:p>
      <w:pPr>
        <w:pStyle w:val="Normal"/>
        <w:spacing w:lineRule="auto" w:line="360"/>
        <w:rPr/>
      </w:pPr>
      <w:r>
        <w:rPr/>
        <w:tab/>
        <w:tab/>
        <w:t>The version of the Comprehensive Settlement attached hereto includes all revisions.  A separate sheet is attached that describes the changes that have been made, by page and section.</w:t>
      </w:r>
    </w:p>
    <w:p>
      <w:pPr>
        <w:pStyle w:val="Normal"/>
        <w:spacing w:lineRule="auto" w:line="360"/>
        <w:rPr/>
      </w:pPr>
      <w:r>
        <w:rPr/>
        <w:tab/>
        <w:tab/>
        <w:t>No changes have been made to the appendices to the Comprehensive Settlement as filed on April 17, so the appendices are not attached to this filing.  Also, the signature pages and declarations in support of the Comprehensive Settlement that were included in the April 17 filing are not attached again in this filing.</w:t>
      </w:r>
    </w:p>
    <w:p>
      <w:pPr>
        <w:pStyle w:val="Normal"/>
        <w:spacing w:lineRule="auto" w:line="360"/>
        <w:rPr/>
      </w:pPr>
      <w:r>
        <w:rPr/>
        <w:tab/>
        <w:tab/>
        <w:t>However, two additional parties have subscribed to the Comprehensive Settlement since April 17, 2000.  These two parties are the California Cogeneration Council and SPURR.  Signature pages from these two parties are attached to this filing.</w:t>
      </w:r>
    </w:p>
    <w:p>
      <w:pPr>
        <w:pStyle w:val="Normal"/>
        <w:spacing w:lineRule="auto" w:line="360"/>
        <w:rPr/>
      </w:pPr>
      <w:r>
        <w:rPr/>
        <w:tab/>
        <w:tab/>
        <w:t>This filing is made on behalf of the signatories to the Comprehensive Settlement, which now are:</w:t>
      </w:r>
    </w:p>
    <w:p>
      <w:pPr>
        <w:pStyle w:val="Normal"/>
        <w:rPr/>
      </w:pPr>
      <w:r>
        <w:rPr/>
        <w:t>California Cogeneration Council</w:t>
      </w:r>
    </w:p>
    <w:p>
      <w:pPr>
        <w:pStyle w:val="Normal"/>
        <w:rPr/>
      </w:pPr>
      <w:r>
        <w:rPr/>
        <w:t>California Industrial Group</w:t>
      </w:r>
    </w:p>
    <w:p>
      <w:pPr>
        <w:pStyle w:val="Normal"/>
        <w:rPr/>
      </w:pPr>
      <w:r>
        <w:rPr/>
        <w:t>California Manufacturers and Technology Association</w:t>
      </w:r>
    </w:p>
    <w:p>
      <w:pPr>
        <w:pStyle w:val="Normal"/>
        <w:rPr/>
      </w:pPr>
      <w:r>
        <w:rPr/>
        <w:t>California Utility Buyers</w:t>
      </w:r>
    </w:p>
    <w:p>
      <w:pPr>
        <w:pStyle w:val="Normal"/>
        <w:rPr/>
      </w:pPr>
      <w:r>
        <w:rPr/>
        <w:t>Calpine Corporation</w:t>
      </w:r>
    </w:p>
    <w:p>
      <w:pPr>
        <w:pStyle w:val="Normal"/>
        <w:rPr/>
      </w:pPr>
      <w:r>
        <w:rPr/>
        <w:t>City of Vernon</w:t>
      </w:r>
    </w:p>
    <w:p>
      <w:pPr>
        <w:pStyle w:val="Footer"/>
        <w:tabs>
          <w:tab w:val="clear" w:pos="4320"/>
          <w:tab w:val="clear" w:pos="8640"/>
        </w:tabs>
        <w:rPr/>
      </w:pPr>
      <w:r>
        <w:rPr/>
        <w:t>Coral Energy Resources</w:t>
      </w:r>
    </w:p>
    <w:p>
      <w:pPr>
        <w:pStyle w:val="Normal"/>
        <w:rPr/>
      </w:pPr>
      <w:r>
        <w:rPr/>
        <w:t>Dynegy, Inc.</w:t>
      </w:r>
    </w:p>
    <w:p>
      <w:pPr>
        <w:pStyle w:val="Normal"/>
        <w:rPr/>
      </w:pPr>
      <w:r>
        <w:rPr/>
        <w:t>Enron, Inc.</w:t>
      </w:r>
    </w:p>
    <w:p>
      <w:pPr>
        <w:pStyle w:val="Normal"/>
        <w:rPr/>
      </w:pPr>
      <w:r>
        <w:rPr/>
        <w:t>GreenMountain.com</w:t>
      </w:r>
    </w:p>
    <w:p>
      <w:pPr>
        <w:pStyle w:val="Subtitle"/>
        <w:rPr>
          <w:rFonts w:ascii="Courier New" w:hAnsi="Courier New" w:cs="Courier New"/>
        </w:rPr>
      </w:pPr>
      <w:r>
        <w:rPr>
          <w:rFonts w:cs="Courier New" w:ascii="Courier New" w:hAnsi="Courier New"/>
        </w:rPr>
        <w:t>Indicated Producers, the members of which are:</w:t>
      </w:r>
    </w:p>
    <w:p>
      <w:pPr>
        <w:pStyle w:val="Subtitle"/>
        <w:ind w:start="720" w:end="0"/>
        <w:rPr>
          <w:rFonts w:ascii="Courier New" w:hAnsi="Courier New" w:cs="Courier New"/>
        </w:rPr>
      </w:pPr>
      <w:r>
        <w:rPr>
          <w:rFonts w:cs="Courier New" w:ascii="Courier New" w:hAnsi="Courier New"/>
        </w:rPr>
        <w:t>Amoco Energy Trading Company</w:t>
      </w:r>
    </w:p>
    <w:p>
      <w:pPr>
        <w:pStyle w:val="Normal"/>
        <w:ind w:start="720" w:end="0"/>
        <w:rPr/>
      </w:pPr>
      <w:r>
        <w:rPr/>
        <w:t>BP Amoco Corporation</w:t>
      </w:r>
    </w:p>
    <w:p>
      <w:pPr>
        <w:pStyle w:val="Normal"/>
        <w:ind w:start="720" w:end="0"/>
        <w:rPr/>
      </w:pPr>
      <w:r>
        <w:rPr/>
        <w:t>Burlington Resources</w:t>
      </w:r>
    </w:p>
    <w:p>
      <w:pPr>
        <w:pStyle w:val="Normal"/>
        <w:ind w:firstLine="720" w:end="0"/>
        <w:rPr/>
      </w:pPr>
      <w:r>
        <w:rPr/>
        <w:t xml:space="preserve">Chevron U.S.A. Inc. </w:t>
      </w:r>
    </w:p>
    <w:p>
      <w:pPr>
        <w:pStyle w:val="Normal"/>
        <w:ind w:firstLine="720" w:end="0"/>
        <w:rPr/>
      </w:pPr>
      <w:r>
        <w:rPr/>
        <w:t>Conoco Inc.</w:t>
      </w:r>
    </w:p>
    <w:p>
      <w:pPr>
        <w:pStyle w:val="Normal"/>
        <w:ind w:firstLine="720" w:end="0"/>
        <w:rPr/>
      </w:pPr>
      <w:r>
        <w:rPr/>
        <w:t>Occidental Energy Marketing Incorporated</w:t>
      </w:r>
    </w:p>
    <w:p>
      <w:pPr>
        <w:pStyle w:val="Normal"/>
        <w:ind w:firstLine="720" w:end="0"/>
        <w:rPr/>
      </w:pPr>
      <w:r>
        <w:rPr/>
        <w:t>Texaco Natural Gas Inc.</w:t>
      </w:r>
    </w:p>
    <w:p>
      <w:pPr>
        <w:pStyle w:val="Normal"/>
        <w:rPr/>
      </w:pPr>
      <w:r>
        <w:rPr/>
        <w:t>Office of Ratepayer Advocates</w:t>
      </w:r>
    </w:p>
    <w:p>
      <w:pPr>
        <w:pStyle w:val="Normal"/>
        <w:rPr/>
      </w:pPr>
      <w:r>
        <w:rPr/>
        <w:t>REMAC</w:t>
      </w:r>
    </w:p>
    <w:p>
      <w:pPr>
        <w:pStyle w:val="Normal"/>
        <w:rPr/>
      </w:pPr>
      <w:r>
        <w:rPr/>
        <w:t>San Diego Gas &amp; Electric Company</w:t>
      </w:r>
    </w:p>
    <w:p>
      <w:pPr>
        <w:pStyle w:val="Normal"/>
        <w:rPr/>
      </w:pPr>
      <w:r>
        <w:rPr/>
        <w:t>Shell Energy Services</w:t>
      </w:r>
    </w:p>
    <w:p>
      <w:pPr>
        <w:pStyle w:val="Normal"/>
        <w:rPr/>
      </w:pPr>
      <w:r>
        <w:rPr/>
        <w:t>Southern California Edison Company</w:t>
      </w:r>
    </w:p>
    <w:p>
      <w:pPr>
        <w:pStyle w:val="Normal"/>
        <w:rPr/>
      </w:pPr>
      <w:r>
        <w:rPr/>
        <w:t>Southern California Gas Company</w:t>
      </w:r>
    </w:p>
    <w:p>
      <w:pPr>
        <w:pStyle w:val="Normal"/>
        <w:rPr/>
      </w:pPr>
      <w:r>
        <w:rPr/>
        <w:t>SPURR</w:t>
      </w:r>
    </w:p>
    <w:p>
      <w:pPr>
        <w:pStyle w:val="Normal"/>
        <w:rPr/>
      </w:pPr>
      <w:r>
        <w:rPr/>
        <w:t>Transwestern Pipeline Company</w:t>
      </w:r>
    </w:p>
    <w:p>
      <w:pPr>
        <w:pStyle w:val="Normal"/>
        <w:rPr/>
      </w:pPr>
      <w:r>
        <w:rPr/>
        <w:t>TXU Energy Services</w:t>
      </w:r>
    </w:p>
    <w:p>
      <w:pPr>
        <w:pStyle w:val="Normal"/>
        <w:rPr/>
      </w:pPr>
      <w:r>
        <w:rPr/>
        <w:t>United Energy Management</w:t>
      </w:r>
    </w:p>
    <w:p>
      <w:pPr>
        <w:pStyle w:val="Normal"/>
        <w:rPr/>
      </w:pPr>
      <w:r>
        <w:rPr/>
        <w:t>Utility.com</w:t>
      </w:r>
    </w:p>
    <w:p>
      <w:pPr>
        <w:pStyle w:val="Normal"/>
        <w:rPr/>
      </w:pPr>
      <w:r>
        <w:rPr/>
        <w:t>Watson Cogeneration Company</w:t>
      </w:r>
    </w:p>
    <w:p>
      <w:pPr>
        <w:pStyle w:val="Normal"/>
        <w:rPr/>
      </w:pPr>
      <w:r>
        <w:rPr/>
        <w:t>Western Hub Properties</w:t>
      </w:r>
    </w:p>
    <w:p>
      <w:pPr>
        <w:pStyle w:val="Normal"/>
        <w:rPr/>
      </w:pPr>
      <w:r>
        <w:rPr/>
        <w:t>Wild Goose Storage Inc.</w:t>
      </w:r>
    </w:p>
    <w:p>
      <w:pPr>
        <w:pStyle w:val="Normal"/>
        <w:spacing w:lineRule="auto" w:line="360"/>
        <w:rPr/>
      </w:pPr>
      <w:r>
        <w:rPr/>
        <w:tab/>
        <w:tab/>
        <w:tab/>
        <w:tab/>
        <w:tab/>
        <w:tab/>
        <w:tab/>
        <w:tab/>
        <w:tab/>
        <w:tab/>
        <w:tab/>
        <w:tab/>
      </w:r>
    </w:p>
    <w:p>
      <w:pPr>
        <w:pStyle w:val="Normal"/>
        <w:spacing w:lineRule="auto" w:line="360"/>
        <w:rPr/>
      </w:pPr>
      <w:r>
        <w:rPr/>
      </w:r>
    </w:p>
    <w:p>
      <w:pPr>
        <w:pStyle w:val="Normal"/>
        <w:spacing w:lineRule="auto" w:line="360"/>
        <w:rPr/>
      </w:pPr>
      <w:r>
        <w:rPr/>
      </w:r>
    </w:p>
    <w:p>
      <w:pPr>
        <w:pStyle w:val="Normal"/>
        <w:spacing w:lineRule="auto" w:line="360"/>
        <w:rPr/>
      </w:pPr>
      <w:r>
        <w:rPr/>
        <w:tab/>
        <w:tab/>
        <w:tab/>
        <w:t>Respectfully submitted,</w:t>
      </w:r>
    </w:p>
    <w:p>
      <w:pPr>
        <w:pStyle w:val="Normal"/>
        <w:spacing w:lineRule="auto" w:line="360"/>
        <w:rPr/>
      </w:pPr>
      <w:r>
        <w:rPr/>
      </w:r>
    </w:p>
    <w:p>
      <w:pPr>
        <w:pStyle w:val="Normal"/>
        <w:spacing w:lineRule="auto" w:line="360"/>
        <w:rPr/>
      </w:pPr>
      <w:r>
        <w:rPr/>
        <w:t>April 28, 2000           By_____________________________</w:t>
      </w:r>
    </w:p>
    <w:p>
      <w:pPr>
        <w:pStyle w:val="Normal"/>
        <w:spacing w:lineRule="auto" w:line="360"/>
        <w:rPr/>
      </w:pPr>
      <w:r>
        <w:rPr/>
        <w:tab/>
        <w:tab/>
        <w:tab/>
        <w:tab/>
        <w:tab/>
        <w:tab/>
        <w:t xml:space="preserve">   Glen J. Sullivan</w:t>
      </w:r>
    </w:p>
    <w:p>
      <w:pPr>
        <w:pStyle w:val="Normal"/>
        <w:spacing w:lineRule="auto" w:line="360"/>
        <w:rPr/>
      </w:pPr>
      <w:r>
        <w:rPr/>
      </w:r>
    </w:p>
    <w:p>
      <w:pPr>
        <w:pStyle w:val="Normal"/>
        <w:rPr/>
      </w:pPr>
      <w:r>
        <w:rPr/>
        <w:tab/>
        <w:tab/>
        <w:tab/>
        <w:tab/>
        <w:tab/>
        <w:t>Sempra Energy Law Department</w:t>
      </w:r>
    </w:p>
    <w:p>
      <w:pPr>
        <w:pStyle w:val="Normal"/>
        <w:rPr/>
      </w:pPr>
      <w:r>
        <w:rPr/>
        <w:tab/>
        <w:tab/>
        <w:tab/>
        <w:tab/>
        <w:tab/>
        <w:t>101 Ash Street</w:t>
      </w:r>
    </w:p>
    <w:p>
      <w:pPr>
        <w:pStyle w:val="Normal"/>
        <w:rPr/>
      </w:pPr>
      <w:r>
        <w:rPr/>
        <w:tab/>
        <w:tab/>
        <w:tab/>
        <w:tab/>
        <w:tab/>
        <w:t>San Diego, California</w:t>
      </w:r>
    </w:p>
    <w:p>
      <w:pPr>
        <w:pStyle w:val="Normal"/>
        <w:rPr/>
      </w:pPr>
      <w:r>
        <w:rPr/>
        <w:tab/>
        <w:tab/>
        <w:tab/>
        <w:tab/>
        <w:tab/>
        <w:t>Telephone:  (619) 699-5162</w:t>
      </w:r>
    </w:p>
    <w:p>
      <w:pPr>
        <w:pStyle w:val="Normal"/>
        <w:rPr/>
      </w:pPr>
      <w:r>
        <w:rPr/>
        <w:tab/>
        <w:tab/>
        <w:tab/>
        <w:tab/>
        <w:tab/>
        <w:t>Facsimile:  (619) 699-5027</w:t>
      </w:r>
    </w:p>
    <w:p>
      <w:pPr>
        <w:pStyle w:val="Normal"/>
        <w:rPr/>
      </w:pPr>
      <w:r>
        <w:rPr/>
        <w:tab/>
        <w:tab/>
        <w:tab/>
        <w:tab/>
        <w:tab/>
        <w:t xml:space="preserve">E-mail:  </w:t>
      </w:r>
      <w:hyperlink r:id="rId2">
        <w:r>
          <w:rPr>
            <w:rStyle w:val="Hyperlink"/>
          </w:rPr>
          <w:t>gsullivan@semrpa.com</w:t>
        </w:r>
      </w:hyperlink>
    </w:p>
    <w:p>
      <w:pPr>
        <w:pStyle w:val="Normal"/>
        <w:rPr/>
      </w:pPr>
      <w:r>
        <w:rPr/>
      </w:r>
    </w:p>
    <w:p>
      <w:pPr>
        <w:pStyle w:val="Normal"/>
        <w:rPr/>
      </w:pPr>
      <w:r>
        <w:rPr/>
        <w:tab/>
        <w:tab/>
        <w:tab/>
        <w:tab/>
        <w:tab/>
        <w:t>Attorney for</w:t>
      </w:r>
    </w:p>
    <w:p>
      <w:pPr>
        <w:pStyle w:val="Normal"/>
        <w:rPr/>
      </w:pPr>
      <w:r>
        <w:rPr/>
        <w:tab/>
        <w:tab/>
        <w:tab/>
        <w:tab/>
        <w:tab/>
        <w:t xml:space="preserve">SOUTHERN CALIFORNIA GAS COMPANY </w:t>
      </w:r>
    </w:p>
    <w:p>
      <w:pPr>
        <w:pStyle w:val="Normal"/>
        <w:rPr/>
      </w:pPr>
      <w:r>
        <w:rPr/>
        <w:tab/>
        <w:tab/>
        <w:tab/>
        <w:tab/>
        <w:tab/>
        <w:t>and SAN DIEGO GAS &amp; ELECTRIC CO.</w:t>
      </w:r>
    </w:p>
    <w:p>
      <w:pPr>
        <w:pStyle w:val="Normal"/>
        <w:spacing w:lineRule="auto" w:line="360"/>
        <w:rPr/>
      </w:pPr>
      <w:r>
        <w:rPr/>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91"/>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Times New Roman" w:hAnsi="Times New Roman" w:cs="Times New Roman"/>
      <w:lang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sullivan@semrpa.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2000-04-27T20:40:00Z</dcterms:created>
  <dc:creator>Sempra Energy</dc:creator>
  <dc:description/>
  <dc:language>en-CA</dc:language>
  <cp:lastModifiedBy>Sempra Energy</cp:lastModifiedBy>
  <dcterms:modified xsi:type="dcterms:W3CDTF">2000-04-27T22:13:00Z</dcterms:modified>
  <cp:revision>1</cp:revision>
  <dc:subject/>
  <dc:title>BEFORE THE</dc:title>
</cp:coreProperties>
</file>