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RATING EVALUATION SERVICE ASSESSMENT OF PACIFIC GAS AND ELECTRIC COMPANY</w:t>
      </w:r>
    </w:p>
    <w:p>
      <w:pPr>
        <w:sectPr>
          <w:type w:val="nextPage"/>
          <w:pgSz w:w="12240" w:h="15840"/>
          <w:pgMar w:left="1440" w:right="1440" w:gutter="360" w:header="0" w:top="1008" w:footer="0" w:bottom="720"/>
          <w:lnNumType w:countBy="1" w:restart="newPage" w:distance="283"/>
          <w:pgNumType w:fmt="decimal"/>
          <w:formProt w:val="false"/>
          <w:textDirection w:val="lrTb"/>
        </w:sectPr>
        <w:pStyle w:val="CoverTitle"/>
        <w:rPr/>
      </w:pPr>
      <w:r>
        <w:rPr/>
      </w:r>
    </w:p>
    <w:p>
      <w:pPr>
        <w:pStyle w:val="TITLE1"/>
        <w:rPr/>
      </w:pPr>
      <w:r>
        <w:rPr/>
        <w:t>PACIFIC GAS AND ELECTRIC COMPANY</w:t>
      </w:r>
    </w:p>
    <w:p>
      <w:pPr>
        <w:pStyle w:val="TITLE2"/>
        <w:rPr/>
      </w:pPr>
      <w:r>
        <w:rPr/>
        <w:t>CHAPTER 4</w:t>
      </w:r>
    </w:p>
    <w:p>
      <w:pPr>
        <w:pStyle w:val="TITLE3"/>
        <w:rPr/>
      </w:pPr>
      <w:r>
        <w:rPr/>
        <w:t>RATING EVALUATION SERVICE ASSESSMENT OF PACIFIC GAS AND ELECTRIC COMPANY</w:t>
      </w:r>
    </w:p>
    <w:p>
      <w:pPr>
        <w:pStyle w:val="Body1"/>
        <w:rPr/>
      </w:pPr>
      <w:r>
        <w:rPr/>
        <w:t xml:space="preserve">The purpose of this testimony is to describe Standard &amp; Poor’s rating evaluation service (RES) assessment of the credit implications for Pacific Gas and Electric Company (PG&amp;E) arising out of PG&amp;E’s growing undercollections of wholesale power costs.  As requested by PG&amp;E, this RES assessment also addresses the October 17, 2000, petition for modification by The Utility Reform Network (TURN), and its impact on PG&amp;E’s credit quality.  The terms and conditions of this RES are consistent with those used by Standard &amp; Poor’s for assessments of PG&amp;E and other utilities.  </w:t>
      </w:r>
    </w:p>
    <w:p>
      <w:pPr>
        <w:pStyle w:val="Body1"/>
        <w:rPr/>
      </w:pPr>
      <w:r>
        <w:rPr/>
        <w:t>In summary and as discussed below, if developments lead Standard &amp; Poor’s to suspect that a timely acceptable resolution in California will not be reached that would provide for timely recovery of PG&amp;E’s undercollected wholesale power costs, Standard &amp; Poor’s would be inclined to consider a downgrade of PG&amp;E’s corporate credit rating.</w:t>
      </w:r>
    </w:p>
    <w:p>
      <w:pPr>
        <w:pStyle w:val="Body1"/>
        <w:rPr/>
      </w:pPr>
      <w:r>
        <w:rPr/>
        <w:t>A corporate credit rating represents Standard &amp; Poor's opinion of the obligor’s capacity and willingness to meet its financial commitments as they become due. Standard &amp; Poor's corporate credit rating of PG&amp;E is single</w:t>
        <w:noBreakHyphen/>
        <w:t>A</w:t>
        <w:noBreakHyphen/>
        <w:t>plus.   A single</w:t>
        <w:noBreakHyphen/>
        <w:t>A</w:t>
        <w:noBreakHyphen/>
        <w:t>plus rating indicates that the obligor’s capacity to meet these commitments is strong.  This strength is measured on both a qualitative and quantitative basis.  Qualitative characteristics that Standard &amp; Poor's has considered in its assessment of PG&amp;E’s risk profile include the following:</w:t>
      </w:r>
    </w:p>
    <w:p>
      <w:pPr>
        <w:pStyle w:val="Bullet1"/>
        <w:numPr>
          <w:ilvl w:val="0"/>
          <w:numId w:val="3"/>
        </w:numPr>
        <w:tabs>
          <w:tab w:val="clear" w:pos="720"/>
          <w:tab w:val="left" w:pos="0" w:leader="none"/>
        </w:tabs>
        <w:ind w:hanging="864" w:start="1296"/>
        <w:rPr/>
      </w:pPr>
      <w:r>
        <w:rPr/>
        <w:t>the historically supportive role that legislation and regulation has played in California;</w:t>
      </w:r>
    </w:p>
    <w:p>
      <w:pPr>
        <w:pStyle w:val="Bullet1"/>
        <w:numPr>
          <w:ilvl w:val="0"/>
          <w:numId w:val="3"/>
        </w:numPr>
        <w:tabs>
          <w:tab w:val="clear" w:pos="720"/>
          <w:tab w:val="left" w:pos="0" w:leader="none"/>
        </w:tabs>
        <w:ind w:hanging="864" w:start="1296"/>
        <w:rPr/>
      </w:pPr>
      <w:r>
        <w:rPr/>
        <w:t xml:space="preserve">the attention that the utility’s management has traditionally paid in word and deed to credit quality; </w:t>
      </w:r>
    </w:p>
    <w:p>
      <w:pPr>
        <w:pStyle w:val="Bullet1"/>
        <w:numPr>
          <w:ilvl w:val="0"/>
          <w:numId w:val="3"/>
        </w:numPr>
        <w:tabs>
          <w:tab w:val="clear" w:pos="720"/>
          <w:tab w:val="left" w:pos="0" w:leader="none"/>
        </w:tabs>
        <w:ind w:hanging="864" w:start="1296"/>
        <w:rPr/>
      </w:pPr>
      <w:r>
        <w:rPr/>
        <w:t xml:space="preserve">the solid operating performance of the company’s generating assets, in particular Diablo Canyon in recent years; and </w:t>
      </w:r>
    </w:p>
    <w:p>
      <w:pPr>
        <w:pStyle w:val="Bullet1"/>
        <w:numPr>
          <w:ilvl w:val="0"/>
          <w:numId w:val="3"/>
        </w:numPr>
        <w:tabs>
          <w:tab w:val="clear" w:pos="720"/>
          <w:tab w:val="left" w:pos="0" w:leader="none"/>
        </w:tabs>
        <w:ind w:hanging="864" w:start="1296"/>
        <w:rPr/>
      </w:pPr>
      <w:r>
        <w:rPr/>
        <w:t xml:space="preserve">the strong economic performance of the utility’s service territory.  </w:t>
      </w:r>
    </w:p>
    <w:p>
      <w:pPr>
        <w:pStyle w:val="Body1"/>
        <w:rPr/>
      </w:pPr>
      <w:r>
        <w:rPr/>
        <w:t xml:space="preserve">Quantitative characteristics focus on financial measures of credit protection.  Most important among these are cash flow measures because debt service obligations must be satisfied with cash.  Accordingly, two of the key ratios that best demonstrate PG&amp;E’s ability to pay its debt service obligations on a timely basis are:  (1) funds from operations coverage of interest expense, and (2) funds from operations coverage of total debt outstanding.  </w:t>
      </w:r>
    </w:p>
    <w:p>
      <w:pPr>
        <w:pStyle w:val="Body1"/>
        <w:rPr/>
      </w:pPr>
      <w:r>
        <w:rPr/>
        <w:t>Standard &amp; Poor's has developed a series of financial targets for these and other ratios that apply to each rating category.  The strength of a company’s competitive profile (i.e. its qualitative characteristics) is also considered; the stronger the competitive profile, the less robust the financial targets required to achieve a given rating.  For the past several years, PG&amp;E has comfortably demonstrated financial ratios appropriate for a single</w:t>
        <w:noBreakHyphen/>
        <w:t>A</w:t>
        <w:noBreakHyphen/>
        <w:t xml:space="preserve">plus rating; in fact, PG&amp;E’s ratios have been sufficiently strong for Standard &amp; Poor's to have considered raising its rating prior to this past summer’s events.  </w:t>
      </w:r>
    </w:p>
    <w:p>
      <w:pPr>
        <w:pStyle w:val="Body1"/>
        <w:rPr/>
      </w:pPr>
      <w:r>
        <w:rPr/>
        <w:t>However, Standard &amp; Poor's now has a “negative outlook” on PG&amp;E’s corporate credit and long</w:t>
        <w:noBreakHyphen/>
        <w:t>term debt ratings.  The negative outlook indicates to fixed</w:t>
        <w:noBreakHyphen/>
        <w:t xml:space="preserve">income investors that the subject ratings may be lowered.  An outlook change is not necessarily a precursor of a rating change, but Standard &amp; Poor's will focus on scenarios that could result in such a change, given perceived vulnerabilities.  Standard &amp; Poor's revised its outlook on PG&amp;E Corp. (the parent of PG&amp;E) and PG&amp;E on September 19, 2000, to negative from positive.  The revision reflected the financial challenges that the extraordinary increase in wholesale power prices in California is creating for the companies.  In the absence of regulatory or legislative action addressing the undercollection issue, the financial targets for the company’s current ratings will weaken, perhaps substantially.  As a result, it may not be possible for Standard &amp; Poor's to maintain its current ratings on PG&amp;E and PG&amp;E Corp. Standard &amp; Poor's took similar rating actions on Edison International and Southern California Edison Co., for precisely the same reasons. </w:t>
      </w:r>
    </w:p>
    <w:p>
      <w:pPr>
        <w:pStyle w:val="Body1"/>
        <w:rPr/>
      </w:pPr>
      <w:r>
        <w:rPr/>
        <w:t>Standard &amp; Poor's distinguishes San Diego Gas and Electric Co. (SDG&amp;E) from PG&amp;E (as well as from Southern California Edison Co.) and supports a “stable” versus “negative” rating outlook on SDG&amp;E, in part because of a provision in Assembly Bill 265 that enabled the utility to establish a balancing account.  This account enables SDG&amp;E to record the shortfall, going forward, between purchased power costs and ratepayer revenues.  Standard &amp; Poor's believes that the establishment of this account is a critical first component in a mechanism that should ultimately enable SDG&amp;E to recover its large and growing deferred revenue balance.</w:t>
      </w:r>
    </w:p>
    <w:p>
      <w:pPr>
        <w:pStyle w:val="Body1"/>
        <w:rPr/>
      </w:pPr>
      <w:r>
        <w:rPr/>
        <w:t>The implications for PG&amp;E of lowered credit ratings are less</w:t>
        <w:noBreakHyphen/>
        <w:t>ready access to the capital markets, specifically, the short</w:t>
        <w:noBreakHyphen/>
        <w:t>term debt markets, because lenders are being asked to advance money against operating costs, not against a long</w:t>
        <w:noBreakHyphen/>
        <w:t>lived asset.  A more intense lender focus on the short</w:t>
        <w:noBreakHyphen/>
        <w:t>term financial profile of PG&amp;E is likely by the lending institutions.  Any indication of direction towards a resolution of the under</w:t>
        <w:noBreakHyphen/>
        <w:t>recovery by regulators, legislators and any other influential entities will likely be critical to sustaining the ongoing availability of credit to PG&amp;E.</w:t>
      </w:r>
    </w:p>
    <w:p>
      <w:pPr>
        <w:pStyle w:val="Body1"/>
        <w:rPr/>
      </w:pPr>
      <w:r>
        <w:rPr/>
        <w:t>Standard &amp; Poor's position with respect to the evolving credit profile of PG&amp;E, as well as that of the other two California investor</w:t>
        <w:noBreakHyphen/>
        <w:t>owned utilities, Southern California Edison Co. and SDG&amp;E, is one of measured concern.  As mentioned earlier, Standard &amp; Poor's role in the capital markets is to provide an opinion of the general creditworthiness of an obligor, based on relevant risk factors.  In our opinion, the overwhelming credit issue affecting PG&amp;E is whether the utility will be permitted to recoup from ratepayers, on a timely basis, the extraordinary energy procurement costs that it has incurred, effectively by commission order, on behalf of customers beginning this past June.  At the end of September 2000, PG&amp;E’s uncollected balance had reached $2.9 billion.  Wholesale procurement costs have not only eliminated the capacity of PG&amp;E to continue to amortize its generation</w:t>
        <w:noBreakHyphen/>
        <w:t xml:space="preserve">related stranded costs by means of the “headroom” mechanism created by the frozen rate structure; these costs have also forced PG&amp;E to finance the huge, and growing, shortfall between the revenues provided by frozen rates and wholesale energy prices.  </w:t>
      </w:r>
    </w:p>
    <w:p>
      <w:pPr>
        <w:pStyle w:val="Body1"/>
        <w:rPr/>
      </w:pPr>
      <w:r>
        <w:rPr/>
        <w:t>Clearly, credit quality measures will be pressured, as PG&amp;E has begun to increase its short</w:t>
        <w:noBreakHyphen/>
        <w:t>term debt balances substantially in order to fund the growing shortfall between permitted rates and purchased power expenses.  We recognize that PG&amp;E is financially strong, which is a reason for our decision not to downgrade its single</w:t>
        <w:noBreakHyphen/>
        <w:t>A</w:t>
        <w:noBreakHyphen/>
        <w:t>plus rating in the face of these challenges.  We also recognize that PG&amp;E is capable of withstanding substantial pressure on these credit quality measures.  However, the degree of uncertainty that confronts PG&amp;E may become incompatible with its current ratings if the status of the unrecovered operating expenses remains unresolved for much longer.  In the current situation, in order for us to maintain the ratings at the current level we believe that a disposition of the underlying credit issues should be achieved well in advance of summer 2001, preferably early in the first quarter of 2001.  More specifically, we believe that it is imperative that a clear plan be established for amortizing not only the deferrals already recorded, but also for recovering energy costs moving forward.  Such a plan would require that the California Public Utility Commission establish retail electric rates at levels that would enable PG&amp;E to recover the balance, both retroactively and going forward, in a reasonably rapid, though multi</w:t>
        <w:noBreakHyphen/>
        <w:t>year period.  If the legislature were to establish such a plan, Standard &amp; Poor's would be comfortable with a much longer recovery period.</w:t>
      </w:r>
    </w:p>
    <w:p>
      <w:pPr>
        <w:pStyle w:val="Body1"/>
        <w:rPr/>
      </w:pPr>
      <w:r>
        <w:rPr/>
        <w:t>Despite the above</w:t>
        <w:noBreakHyphen/>
        <w:t>described series of consequences of a continuation of the current state of regulatory uncertainty, Standard &amp; Poor's reaction to date has been one of measured concern, as evidenced by the negative outlook. The reaction has been limited based on the expectation that an acceptable, nonpunitive solution will be reached to address the utilities’ under</w:t>
        <w:noBreakHyphen/>
        <w:t>recovery. This expectation is based on factors, including supportive statements by the Governor of California concerning the importance of the financial health of the state’s utilities, the positive historical behavior of the utility’s regulators and the state government, and the current interest of the parties in reaching a resolution.  If developments lead us to suspect that a timely, acceptable resolution in California will not be reached that would provide for timely recovery of these costs, Standard &amp; Poor's would be inclined to consider a downgrade of PG&amp;E’s ratings.</w:t>
      </w:r>
    </w:p>
    <w:p>
      <w:pPr>
        <w:pStyle w:val="Body1"/>
        <w:rPr/>
      </w:pPr>
      <w:r>
        <w:rPr/>
        <w:t>It is beyond Standard &amp; Poor's purview to make any judgment as to the merits of TURN’s legal or other arguments concerning the appropriateness, or not, of original ratemaking treatment for transition revenue account under</w:t>
        <w:noBreakHyphen/>
        <w:t xml:space="preserve"> and overcollections.  Our role is limited to determining the possible credit implications of implementation of various scenarios.  The petition by TURN to modify Resolution E</w:t>
        <w:noBreakHyphen/>
        <w:t xml:space="preserve">3527 does not address the cash flow challenge described above, which is causing PG&amp;E to increase its debt load dramatically.  We recognize that the cash undercollection is offset in part by the higher power generation revenues that the utility’s retained generating facilities are earning, but these revenues represent only a fraction of the TRA undercollection.  This means that the imbalance between revenues generated on a consolidated utility basis and procurement costs through the Power Exchange will continue to increase.  </w:t>
      </w:r>
    </w:p>
    <w:p>
      <w:pPr>
        <w:pStyle w:val="Body1"/>
        <w:rPr/>
      </w:pPr>
      <w:r>
        <w:rPr/>
        <w:t>TURN’s proposal would also likely result in postponing the recovery of PG&amp;E’s transition cost balancing account, causing the rate freeze to continue through March 31, 2002.  At that time, PG&amp;E would be required to write</w:t>
        <w:noBreakHyphen/>
        <w:t>off any remaining unrecovered balance, which could be substantial.  While a write</w:t>
        <w:noBreakHyphen/>
        <w:t>off does not impact cash flow, a weakening of PG&amp;E’s capital structure, which acts as an important measure of financial health to lending institutions, could negatively impact its financial flexibility.</w:t>
      </w:r>
    </w:p>
    <w:p>
      <w:pPr>
        <w:pStyle w:val="Body1"/>
        <w:rPr/>
      </w:pPr>
      <w:r>
        <w:rPr/>
        <w:t>In conclusion, Standard &amp; Poor's views the evolving credit quality of PG&amp;E as heavily dependent on near</w:t>
        <w:noBreakHyphen/>
        <w:t>term actions, or inactions, by regulators or the state legislature to address the deferral of revenues that PG&amp;E continues to record.  The absence of a plan that addresses the manner in which recovery of these deferred revenues will occur will necessitate a review by Standard &amp; Poor's for a likely downgrade of PG&amp;E’s credit ratings.  Prospects for exceptionally high wholesale rates next summer are strong, given the absence of material new generating sources, which makes the need for a quick resolution advisable.</w:t>
      </w:r>
    </w:p>
    <w:sectPr>
      <w:headerReference w:type="default" r:id="rId2"/>
      <w:footerReference w:type="default" r:id="rId3"/>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Courier New">
    <w:charset w:val="01"/>
    <w:family w:val="modern"/>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b/>
        <w:bCs/>
      </w:rPr>
      <w:t>4</w:t>
      <w:noBreakHyphen/>
    </w:r>
    <w:r>
      <w:rPr/>
      <w:fldChar w:fldCharType="begin"/>
    </w:r>
    <w:r>
      <w:rPr/>
      <w:instrText xml:space="preserve">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tabs>
        <w:tab w:val="clear" w:pos="864"/>
      </w:tabs>
      <w:spacing w:before="60" w:after="0"/>
      <w:ind w:hanging="432" w:start="2160" w:end="0"/>
      <w:outlineLvl w:val="2"/>
    </w:pPr>
    <w:rPr>
      <w:sz w:val="23"/>
      <w:szCs w:val="23"/>
    </w:rPr>
  </w:style>
  <w:style w:type="paragraph" w:styleId="Heading4">
    <w:name w:val="heading 4"/>
    <w:basedOn w:val="Heading3"/>
    <w:next w:val="Body4"/>
    <w:qFormat/>
    <w:pPr>
      <w:numPr>
        <w:ilvl w:val="3"/>
        <w:numId w:val="1"/>
      </w:numPr>
      <w:ind w:hanging="432" w:start="2160"/>
      <w:outlineLvl w:val="3"/>
    </w:pPr>
    <w:rPr/>
  </w:style>
  <w:style w:type="paragraph" w:styleId="Heading5">
    <w:name w:val="heading 5"/>
    <w:basedOn w:val="Heading4"/>
    <w:next w:val="Body5"/>
    <w:qFormat/>
    <w:pPr>
      <w:numPr>
        <w:ilvl w:val="4"/>
        <w:numId w:val="1"/>
      </w:numPr>
      <w:ind w:hanging="432" w:start="2160"/>
      <w:outlineLvl w:val="4"/>
    </w:pPr>
    <w:rPr/>
  </w:style>
  <w:style w:type="paragraph" w:styleId="Heading6">
    <w:name w:val="heading 6"/>
    <w:basedOn w:val="Heading5"/>
    <w:next w:val="Body6"/>
    <w:qFormat/>
    <w:pPr>
      <w:numPr>
        <w:ilvl w:val="5"/>
        <w:numId w:val="1"/>
      </w:numPr>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numPr>
        <w:ilvl w:val="0"/>
        <w:numId w:val="2"/>
      </w:numPr>
      <w:spacing w:before="0" w:after="120"/>
      <w:ind w:hanging="432" w:start="432" w:end="0"/>
    </w:pPr>
    <w:rPr/>
  </w:style>
  <w:style w:type="paragraph" w:styleId="Bullet1">
    <w:name w:val="Bullet 1"/>
    <w:basedOn w:val="Bullet0"/>
    <w:qFormat/>
    <w:pPr>
      <w:ind w:hanging="432" w:start="864" w:end="0"/>
    </w:pPr>
    <w:rPr/>
  </w:style>
  <w:style w:type="paragraph" w:styleId="Bullet2">
    <w:name w:val="Bullet 2"/>
    <w:basedOn w:val="Bullet1"/>
    <w:qFormat/>
    <w:pPr>
      <w:ind w:hanging="432" w:start="1296" w:end="0"/>
    </w:pPr>
    <w:rPr/>
  </w:style>
  <w:style w:type="paragraph" w:styleId="Bullet3">
    <w:name w:val="Bullet 3"/>
    <w:basedOn w:val="Bullet2"/>
    <w:qFormat/>
    <w:p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auto"/>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auto"/>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sz w:val="20"/>
      <w:szCs w:val="20"/>
    </w:rPr>
  </w:style>
  <w:style w:type="paragraph" w:styleId="Table">
    <w:name w:val="Table"/>
    <w:basedOn w:val="Body2"/>
    <w:qFormat/>
    <w:pPr>
      <w:keepNext w:val="true"/>
      <w:keepLines/>
      <w:spacing w:lineRule="auto" w:line="240"/>
      <w:ind w:hanging="0" w:start="0" w:end="0"/>
    </w:pPr>
    <w:rPr>
      <w:sz w:val="20"/>
      <w:szCs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auto"/>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Arial" w:cs="Arial"/>
      <w:b/>
      <w:bCs/>
      <w:color w:val="000000"/>
      <w:spacing w:val="10"/>
      <w:sz w:val="28"/>
      <w:szCs w:val="28"/>
      <w:lang w:val="en-US" w:eastAsia="zh-CN" w:bidi="hi-IN"/>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bCs w:val="false"/>
      <w:sz w:val="24"/>
      <w:szCs w:val="24"/>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ind w:hanging="0" w:start="0" w:end="0"/>
    </w:pPr>
    <w:rPr>
      <w:rFonts w:ascii="Courier New" w:hAnsi="Courier New" w:eastAsia="Courier New" w:cs="Courier New"/>
      <w:color w:val="auto"/>
      <w:sz w:val="20"/>
      <w:szCs w:val="20"/>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WW-BodyText2">
    <w:name w:val="WW-Body Text 2"/>
    <w:basedOn w:val="Normal"/>
    <w:qFormat/>
    <w:pPr>
      <w:ind w:hanging="450" w:start="450" w:end="0"/>
    </w:pPr>
    <w:rPr/>
  </w:style>
  <w:style w:type="paragraph" w:styleId="Body0-list">
    <w:name w:val="Body 0 - list"/>
    <w:basedOn w:val="WW-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szCs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2000-11-16T17:27:00Z</dcterms:created>
  <dc:creator>Chris Warner</dc:creator>
  <dc:description/>
  <dc:language>en-CA</dc:language>
  <cp:lastModifiedBy>Chris Warner</cp:lastModifiedBy>
  <cp:lastPrinted>2000-11-09T13:51:00Z</cp:lastPrinted>
  <dcterms:modified xsi:type="dcterms:W3CDTF">2000-11-16T17:27:00Z</dcterms:modified>
  <cp:revision>2</cp:revision>
  <dc:subject/>
  <dc:title> TITLE </dc:title>
</cp:coreProperties>
</file>