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6480" w:end="0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4023995</wp:posOffset>
                </wp:positionH>
                <wp:positionV relativeFrom="paragraph">
                  <wp:posOffset>-182245</wp:posOffset>
                </wp:positionV>
                <wp:extent cx="2189480" cy="96964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480" cy="9696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2189480" cy="73152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" t="-9" r="-3" b="-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948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2.4pt;height:76.35pt;mso-wrap-distance-left:0pt;mso-wrap-distance-right:0pt;mso-wrap-distance-top:0pt;mso-wrap-distance-bottom:0pt;margin-top:-14.35pt;mso-position-vertical-relative:text;margin-left:316.85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  <w:drawing>
                          <wp:inline distT="0" distB="0" distL="0" distR="0">
                            <wp:extent cx="2189480" cy="73152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" t="-9" r="-3" b="-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948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ind w:firstLine="720" w:start="6480" w:end="0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</w:r>
    </w:p>
    <w:p>
      <w:pPr>
        <w:pStyle w:val="Normal"/>
        <w:ind w:firstLine="720" w:start="6480" w:end="0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</w:r>
    </w:p>
    <w:p>
      <w:pPr>
        <w:pStyle w:val="Normal"/>
        <w:ind w:firstLine="720" w:start="6480" w:end="0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>1401 New York Avenue</w:t>
      </w:r>
    </w:p>
    <w:p>
      <w:pPr>
        <w:pStyle w:val="Normal"/>
        <w:rPr/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11</w:t>
      </w:r>
      <w:r>
        <w:rPr>
          <w:rFonts w:cs="Zurich BT;Tahoma" w:ascii="Zurich BT;Tahoma" w:hAnsi="Zurich BT;Tahoma"/>
          <w:spacing w:val="-8"/>
          <w:sz w:val="16"/>
          <w:vertAlign w:val="superscript"/>
        </w:rPr>
        <w:t>th</w:t>
      </w:r>
      <w:r>
        <w:rPr>
          <w:rFonts w:cs="Zurich BT;Tahoma" w:ascii="Zurich BT;Tahoma" w:hAnsi="Zurich BT;Tahoma"/>
          <w:spacing w:val="-8"/>
          <w:sz w:val="16"/>
        </w:rPr>
        <w:t xml:space="preserve"> Floor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fax</w:t>
      </w:r>
    </w:p>
    <w:p>
      <w:pPr>
        <w:pStyle w:val="Normal"/>
        <w:rPr>
          <w:rFonts w:ascii="Zurich BT;Tahoma" w:hAnsi="Zurich BT;Tahoma" w:cs="Zurich BT;Tahoma"/>
          <w:b/>
          <w:spacing w:val="20"/>
        </w:rPr>
      </w:pPr>
      <w:r>
        <w:rPr>
          <w:rFonts w:cs="Zurich BT;Tahoma" w:ascii="Zurich BT;Tahoma" w:hAnsi="Zurich BT;Tahoma"/>
          <w:b/>
          <w:caps/>
          <w:spacing w:val="20"/>
          <w:sz w:val="32"/>
        </w:rPr>
        <w:t>Memorandum</w:t>
      </w:r>
      <w:r>
        <w:rPr>
          <w:rFonts w:cs="Zurich BT;Tahoma" w:ascii="Zurich BT;Tahoma" w:hAnsi="Zurich BT;Tahoma"/>
          <w:b/>
          <w:spacing w:val="20"/>
          <w:sz w:val="36"/>
        </w:rPr>
        <w:b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EPSA Legislative Affairs Committee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sz w:val="24"/>
              </w:rPr>
              <w:t>Scott A. Weiner, Legislative Affairs Committee Chair</w:t>
              <w:br/>
              <w:t>Andrea L. Spring, Manager of Government Affairs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fldChar w:fldCharType="begin"/>
            </w:r>
            <w:r>
              <w:rPr>
                <w:sz w:val="24"/>
                <w:rFonts w:cs="Arial" w:ascii="Arial" w:hAnsi="Arial"/>
              </w:rPr>
              <w:instrText xml:space="preserve"> DATE \@"MMMM\ d', 'yyyy" </w:instrText>
            </w:r>
            <w:r>
              <w:rPr>
                <w:sz w:val="24"/>
                <w:rFonts w:cs="Arial" w:ascii="Arial" w:hAnsi="Arial"/>
              </w:rPr>
              <w:fldChar w:fldCharType="separate"/>
            </w:r>
            <w:r>
              <w:rPr>
                <w:sz w:val="24"/>
                <w:rFonts w:cs="Arial" w:ascii="Arial" w:hAnsi="Arial"/>
              </w:rPr>
              <w:t>September 28, 2025</w:t>
            </w:r>
            <w:r>
              <w:rPr>
                <w:sz w:val="24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Bingaman Electricity Legislation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Administration Draft Electricity Plan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360" w:leader="none"/>
        </w:tabs>
        <w:spacing w:before="0" w:after="240"/>
        <w:ind w:hanging="360" w:start="360" w:end="0"/>
        <w:rPr>
          <w:rFonts w:ascii="Arial" w:hAnsi="Arial" w:cs="Arial"/>
          <w:sz w:val="24"/>
          <w:szCs w:val="24"/>
        </w:rPr>
      </w:pPr>
      <w:r>
        <w:rPr>
          <w:rFonts w:eastAsia="Wingdings" w:cs="Wingdings" w:ascii="Wingdings" w:hAnsi="Wingdings"/>
          <w:sz w:val="24"/>
          <w:szCs w:val="24"/>
        </w:rPr>
        <w:sym w:font="Wingdings" w:char="f074"/>
      </w:r>
      <w:r>
        <w:rPr>
          <w:rFonts w:cs="Arial" w:ascii="Arial" w:hAnsi="Arial"/>
          <w:sz w:val="24"/>
          <w:szCs w:val="24"/>
        </w:rPr>
        <w:tab/>
        <w:t xml:space="preserve">We are working on an analysis of the legislation which Senate Energy and Natural Resources Committee Chairman </w:t>
      </w:r>
      <w:r>
        <w:rPr>
          <w:rFonts w:cs="Arial" w:ascii="Arial" w:hAnsi="Arial"/>
          <w:b/>
          <w:sz w:val="24"/>
          <w:szCs w:val="24"/>
        </w:rPr>
        <w:t>Jeff Bingaman</w:t>
      </w:r>
      <w:r>
        <w:rPr>
          <w:rFonts w:cs="Arial" w:ascii="Arial" w:hAnsi="Arial"/>
          <w:sz w:val="24"/>
          <w:szCs w:val="24"/>
        </w:rPr>
        <w:t xml:space="preserve"> (D-NM) intends to begin marking up on September 13</w:t>
      </w:r>
      <w:r>
        <w:rPr>
          <w:rFonts w:cs="Arial" w:ascii="Arial" w:hAnsi="Arial"/>
          <w:sz w:val="24"/>
          <w:szCs w:val="24"/>
          <w:vertAlign w:val="superscript"/>
        </w:rPr>
        <w:t>th</w:t>
      </w:r>
      <w:r>
        <w:rPr>
          <w:rFonts w:cs="Arial" w:ascii="Arial" w:hAnsi="Arial"/>
          <w:sz w:val="24"/>
          <w:szCs w:val="24"/>
        </w:rPr>
        <w:t>.  It’s quite complicated, and there’s a lot of new language, so we’re taking a little additional time to review it.  We will distribute the bill analysis on Monday.  We have attached a copy of the legislative language which pertains to electricity, as well as the committee summary of the bill.</w:t>
      </w:r>
    </w:p>
    <w:p>
      <w:pPr>
        <w:pStyle w:val="Normal"/>
        <w:tabs>
          <w:tab w:val="clear" w:pos="720"/>
          <w:tab w:val="left" w:pos="360" w:leader="none"/>
        </w:tabs>
        <w:spacing w:before="0" w:after="240"/>
        <w:ind w:hanging="360" w:start="360" w:end="0"/>
        <w:rPr/>
      </w:pPr>
      <w:r>
        <w:rPr>
          <w:rFonts w:cs="Arial" w:ascii="Arial" w:hAnsi="Arial"/>
          <w:sz w:val="24"/>
          <w:szCs w:val="24"/>
        </w:rPr>
        <w:tab/>
        <w:t>A few provisions of interest: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10" w:leader="none"/>
        </w:tabs>
        <w:ind w:hanging="450" w:start="81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Clarifies that FERC has authority over the transmission component of electricity sold at retail.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10" w:leader="none"/>
        </w:tabs>
        <w:ind w:hanging="450" w:start="81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Allows FERC to order transmitting utilities into rtos to “remedy undue discrimination or anti-competitive effects” and allows FERC to mandate the minimum characteristics and functions of RTOs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10" w:leader="none"/>
        </w:tabs>
        <w:ind w:hanging="450" w:start="81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Gives FERC increased merger authority, including authority over generation-only mergers.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10" w:leader="none"/>
        </w:tabs>
        <w:ind w:hanging="450" w:start="81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Gives FERC increased market power authority, defining market power as the </w:t>
      </w:r>
      <w:r>
        <w:rPr>
          <w:rFonts w:cs="Arial" w:ascii="Arial" w:hAnsi="Arial"/>
          <w:sz w:val="24"/>
          <w:szCs w:val="24"/>
          <w:u w:val="single"/>
        </w:rPr>
        <w:t>ability</w:t>
      </w:r>
      <w:r>
        <w:rPr>
          <w:rFonts w:cs="Arial" w:ascii="Arial" w:hAnsi="Arial"/>
          <w:sz w:val="24"/>
          <w:szCs w:val="24"/>
        </w:rPr>
        <w:t xml:space="preserve"> to profitably maintain prices above just and reasonable levels for a significant period of time.  FERC can direct utilities or generators to submit plans to mitigate market power, approve or modify plans, and force divestiture.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10" w:leader="none"/>
        </w:tabs>
        <w:ind w:hanging="450" w:start="81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Makes refunds of unjust or unreasonable rates effective from the date that a complaint is filed, or from the date that FERC initiates the proceeding, instead of the current 60 days after filing.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360" w:leader="none"/>
        </w:tabs>
        <w:spacing w:before="0" w:after="240"/>
        <w:ind w:hanging="360" w:start="360" w:end="0"/>
        <w:rPr/>
      </w:pPr>
      <w:r>
        <w:rPr>
          <w:rFonts w:eastAsia="Wingdings" w:cs="Wingdings" w:ascii="Wingdings" w:hAnsi="Wingdings"/>
          <w:sz w:val="24"/>
          <w:szCs w:val="24"/>
        </w:rPr>
        <w:sym w:font="Wingdings" w:char="f074"/>
      </w:r>
      <w:r>
        <w:rPr>
          <w:rFonts w:cs="Arial" w:ascii="Arial" w:hAnsi="Arial"/>
          <w:sz w:val="24"/>
          <w:szCs w:val="24"/>
        </w:rPr>
        <w:tab/>
        <w:t>We have also attached a copy of the major elements in the Administration’s draft electricity plan – this is a version which is being circulated on the Hill.</w:t>
      </w:r>
    </w:p>
    <w:sectPr>
      <w:type w:val="nextPage"/>
      <w:pgSz w:w="12240" w:h="15840"/>
      <w:pgMar w:left="1440" w:right="144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Zurich BT">
    <w:altName w:val="Tahoma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Article %1."/>
      <w:lvlJc w:val="start"/>
      <w:pPr>
        <w:tabs>
          <w:tab w:val="num" w:pos="1440"/>
        </w:tabs>
        <w:ind w:start="0" w:hanging="0"/>
      </w:pPr>
    </w:lvl>
    <w:lvl w:ilvl="1">
      <w:start w:val="1"/>
      <w:isLgl/>
      <w:numFmt w:val="decimalZero"/>
      <w:lvlText w:val="Section %1.%2"/>
      <w:lvlJc w:val="start"/>
      <w:pPr>
        <w:tabs>
          <w:tab w:val="num" w:pos="1440"/>
        </w:tabs>
        <w:ind w:start="0" w:hanging="0"/>
      </w:pPr>
    </w:lvl>
    <w:lvl w:ilvl="2">
      <w:start w:val="1"/>
      <w:numFmt w:val="lowerLetter"/>
      <w:lvlText w:val="(%3)"/>
      <w:lvlJc w:val="start"/>
      <w:pPr>
        <w:tabs>
          <w:tab w:val="num" w:pos="720"/>
        </w:tabs>
        <w:ind w:start="720" w:hanging="432"/>
      </w:pPr>
    </w:lvl>
    <w:lvl w:ilvl="3">
      <w:start w:val="1"/>
      <w:numFmt w:val="lowerRoman"/>
      <w:lvlText w:val="(%4)"/>
      <w:lvlJc w:val="end"/>
      <w:pPr>
        <w:tabs>
          <w:tab w:val="num" w:pos="864"/>
        </w:tabs>
        <w:ind w:start="864" w:hanging="144"/>
      </w:pPr>
    </w:lvl>
    <w:lvl w:ilvl="4">
      <w:start w:val="1"/>
      <w:numFmt w:val="decimal"/>
      <w:lvlText w:val="%5)"/>
      <w:lvlJc w:val="start"/>
      <w:pPr>
        <w:tabs>
          <w:tab w:val="num" w:pos="1008"/>
        </w:tabs>
        <w:ind w:start="1008" w:hanging="432"/>
      </w:pPr>
    </w:lvl>
    <w:lvl w:ilvl="5">
      <w:start w:val="1"/>
      <w:numFmt w:val="lowerLetter"/>
      <w:lvlText w:val="%6)"/>
      <w:lvlJc w:val="start"/>
      <w:pPr>
        <w:tabs>
          <w:tab w:val="num" w:pos="1152"/>
        </w:tabs>
        <w:ind w:start="1152" w:hanging="432"/>
      </w:pPr>
    </w:lvl>
    <w:lvl w:ilvl="6">
      <w:start w:val="1"/>
      <w:numFmt w:val="lowerRoman"/>
      <w:lvlText w:val="%7)"/>
      <w:lvlJc w:val="end"/>
      <w:pPr>
        <w:tabs>
          <w:tab w:val="num" w:pos="1296"/>
        </w:tabs>
        <w:ind w:start="1296" w:hanging="288"/>
      </w:pPr>
    </w:lvl>
    <w:lvl w:ilvl="7">
      <w:start w:val="1"/>
      <w:numFmt w:val="lowerLetter"/>
      <w:lvlText w:val="%8."/>
      <w:lvlJc w:val="start"/>
      <w:pPr>
        <w:tabs>
          <w:tab w:val="num" w:pos="1440"/>
        </w:tabs>
        <w:ind w:start="1440" w:hanging="432"/>
      </w:pPr>
    </w:lvl>
    <w:lvl w:ilvl="8">
      <w:start w:val="1"/>
      <w:numFmt w:val="lowerRoman"/>
      <w:lvlText w:val="%9."/>
      <w:lvlJc w:val="end"/>
      <w:pPr>
        <w:tabs>
          <w:tab w:val="num" w:pos="1584"/>
        </w:tabs>
        <w:ind w:start="1584" w:hanging="14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rFonts w:ascii="Arial" w:hAnsi="Arial" w:cs="Arial"/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EPSA Leg Affairs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2001-09-07T18:52:00Z</dcterms:created>
  <dc:creator>Donn J. Salvosa</dc:creator>
  <dc:description/>
  <dc:language>en-CA</dc:language>
  <cp:lastModifiedBy>Andrea Leigh Spring</cp:lastModifiedBy>
  <cp:lastPrinted>2001-09-07T16:54:00Z</cp:lastPrinted>
  <dcterms:modified xsi:type="dcterms:W3CDTF">2001-09-07T18:52:00Z</dcterms:modified>
  <cp:revision>2</cp:revision>
  <dc:subject/>
  <dc:title>						 	1401 H Street, NW</dc:title>
</cp:coreProperties>
</file>