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GREATER HOUSTON PARTNERSHIP</w:t>
      </w:r>
    </w:p>
    <w:p>
      <w:pPr>
        <w:pStyle w:val="Normal"/>
        <w:jc w:val="center"/>
        <w:rPr>
          <w:b/>
          <w:sz w:val="24"/>
        </w:rPr>
      </w:pPr>
      <w:r>
        <w:rPr>
          <w:b/>
          <w:sz w:val="24"/>
        </w:rPr>
        <w:t xml:space="preserve">BOARD OF DIRECTORS </w:t>
      </w:r>
    </w:p>
    <w:p>
      <w:pPr>
        <w:pStyle w:val="Normal"/>
        <w:jc w:val="center"/>
        <w:rPr>
          <w:b/>
          <w:sz w:val="24"/>
        </w:rPr>
      </w:pPr>
      <w:r>
        <w:rPr>
          <w:b/>
          <w:sz w:val="24"/>
        </w:rPr>
      </w:r>
    </w:p>
    <w:p>
      <w:pPr>
        <w:pStyle w:val="Normal"/>
        <w:jc w:val="center"/>
        <w:rPr>
          <w:b/>
          <w:sz w:val="24"/>
        </w:rPr>
      </w:pPr>
      <w:r>
        <w:rPr>
          <w:b/>
          <w:sz w:val="24"/>
        </w:rPr>
        <w:t>September 4, 2001</w:t>
      </w:r>
    </w:p>
    <w:p>
      <w:pPr>
        <w:pStyle w:val="Normal"/>
        <w:rPr>
          <w:b/>
          <w:sz w:val="24"/>
        </w:rPr>
      </w:pPr>
      <w:r>
        <w:rPr>
          <w:b/>
          <w:sz w:val="24"/>
        </w:rPr>
      </w:r>
    </w:p>
    <w:p>
      <w:pPr>
        <w:pStyle w:val="Normal"/>
        <w:jc w:val="both"/>
        <w:rPr>
          <w:sz w:val="24"/>
        </w:rPr>
      </w:pPr>
      <w:r>
        <w:rPr>
          <w:sz w:val="24"/>
        </w:rPr>
        <w:t>The Board of Directors of the Greater Houston Partnership met on Tuesday, September 4, 2001 at The Houston Club.  Mr. R. Bruce LaBoon chaired the meeting</w:t>
      </w:r>
    </w:p>
    <w:p>
      <w:pPr>
        <w:pStyle w:val="Normal"/>
        <w:jc w:val="both"/>
        <w:rPr>
          <w:sz w:val="24"/>
        </w:rPr>
      </w:pPr>
      <w:r>
        <w:rPr>
          <w:sz w:val="24"/>
        </w:rPr>
      </w:r>
    </w:p>
    <w:p>
      <w:pPr>
        <w:pStyle w:val="BodyText"/>
        <w:jc w:val="both"/>
        <w:rPr/>
      </w:pPr>
      <w:r>
        <w:rPr/>
        <w:t>Directors in attendance included:  Stanford Alexander,  Willie Alexander, Howard Ayers, Jim Baker, Bob Beauchamp, Jack Blanton, Peter Butler, Ric Campo, Deborah Cannon, Chip Carlisle, Kent Crawford, Charles Cotros, George DeMontrond, Charles Duncan, Ann Earnest, Jim Edmonds, Richard Everett, Charles Foster, Lupe Fraga, Kelly Frels, Harry Gee, Edgar Giesinger, Glen Gondo, Jenard Gross, Steve Goddard, Joe Hafner, Jodie Jiles, Jim Kollaer, Terry Koonce, Ken Lay, Bruce Leslie, George Martinez, Vidal Martinez, Wayne McConnell, Charles McMahen, John Mendelsohn, Rob Mosbacher, Jr., Charles O’Connell, Yojiro Okazaki, Jane Page, Chris Pappas, James Postl, Michael Richmond, Jim Royer, Matthew Simmons, Robert Solberg, George Strake, Michael Stephens, Cheryl Thompson-Draper, Gene Vaughan, Massey Villareal, Larry Young, Rosie Zamora and Bob Zincke.</w:t>
      </w:r>
    </w:p>
    <w:p>
      <w:pPr>
        <w:pStyle w:val="Normal"/>
        <w:jc w:val="both"/>
        <w:rPr>
          <w:sz w:val="24"/>
        </w:rPr>
      </w:pPr>
      <w:r>
        <w:rPr>
          <w:sz w:val="24"/>
        </w:rPr>
      </w:r>
    </w:p>
    <w:p>
      <w:pPr>
        <w:pStyle w:val="Normal"/>
        <w:jc w:val="both"/>
        <w:rPr>
          <w:sz w:val="24"/>
        </w:rPr>
      </w:pPr>
      <w:r>
        <w:rPr>
          <w:sz w:val="24"/>
        </w:rPr>
        <w:t>Staff in attendance included:  Susan Asimakis, George Beatty, Anne Culver, Tammy Dowe, Deborah January-Bevers, Pam Lovett, Arlene McCarty, Ira Perry, Nancy Rose, Miguel San Juan, Charlie Savino and Marilou Schopper.</w:t>
      </w:r>
    </w:p>
    <w:p>
      <w:pPr>
        <w:pStyle w:val="Normal"/>
        <w:jc w:val="both"/>
        <w:rPr>
          <w:sz w:val="24"/>
        </w:rPr>
      </w:pPr>
      <w:r>
        <w:rPr>
          <w:sz w:val="24"/>
        </w:rPr>
      </w:r>
    </w:p>
    <w:p>
      <w:pPr>
        <w:pStyle w:val="Normal"/>
        <w:jc w:val="both"/>
        <w:rPr>
          <w:sz w:val="24"/>
        </w:rPr>
      </w:pPr>
      <w:r>
        <w:rPr>
          <w:sz w:val="24"/>
        </w:rPr>
        <w:t xml:space="preserve">The chairman called the meeting to order and welcomed the board’s newest director, Mr. Bob Beauchamp, president and CEO of BMC Software.  </w:t>
      </w:r>
    </w:p>
    <w:p>
      <w:pPr>
        <w:pStyle w:val="Normal"/>
        <w:jc w:val="both"/>
        <w:rPr>
          <w:sz w:val="24"/>
        </w:rPr>
      </w:pPr>
      <w:r>
        <w:rPr>
          <w:sz w:val="24"/>
        </w:rPr>
      </w:r>
    </w:p>
    <w:p>
      <w:pPr>
        <w:pStyle w:val="Normal"/>
        <w:jc w:val="both"/>
        <w:rPr>
          <w:sz w:val="24"/>
        </w:rPr>
      </w:pPr>
      <w:r>
        <w:rPr>
          <w:sz w:val="24"/>
        </w:rPr>
        <w:t>Mr. LaBoon then announced that he had just learned that Senator Phil Gramm had announced that he would not be seeking another term in office stating that it will be interesting to watch the candidates vying for the Senator’s seat in Congress.</w:t>
      </w:r>
    </w:p>
    <w:p>
      <w:pPr>
        <w:pStyle w:val="Normal"/>
        <w:jc w:val="both"/>
        <w:rPr>
          <w:sz w:val="24"/>
        </w:rPr>
      </w:pPr>
      <w:r>
        <w:rPr>
          <w:sz w:val="24"/>
        </w:rPr>
      </w:r>
    </w:p>
    <w:p>
      <w:pPr>
        <w:pStyle w:val="Normal"/>
        <w:jc w:val="both"/>
        <w:rPr>
          <w:sz w:val="24"/>
        </w:rPr>
      </w:pPr>
      <w:r>
        <w:rPr>
          <w:sz w:val="24"/>
        </w:rPr>
        <w:t>Mr. LaBoon then touched on the recent news of the Compaq/HP merger.  He called on Mr. Ken Lay who serves on Compaq’s board of directors for comments.  Mr. Lay reported that the two companies seemed to be a perfect fit and the merger appeared to be a sound business decision made by both.  As to any implications of additional lay-offs from Compaq, Mr. Lay commented that it was too soon to tell, however it was his hope that more operations may be moved to Houston from California.</w:t>
      </w:r>
    </w:p>
    <w:p>
      <w:pPr>
        <w:pStyle w:val="Normal"/>
        <w:jc w:val="both"/>
        <w:rPr>
          <w:sz w:val="24"/>
        </w:rPr>
      </w:pPr>
      <w:r>
        <w:rPr>
          <w:sz w:val="24"/>
        </w:rPr>
      </w:r>
    </w:p>
    <w:p>
      <w:pPr>
        <w:pStyle w:val="Normal"/>
        <w:jc w:val="both"/>
        <w:rPr>
          <w:sz w:val="24"/>
        </w:rPr>
      </w:pPr>
      <w:r>
        <w:rPr>
          <w:sz w:val="24"/>
        </w:rPr>
        <w:t>The chairman next called for approval of the consent agenda.  The minutes of the July 17, 2001 meeting were approved as submitted.</w:t>
      </w:r>
    </w:p>
    <w:p>
      <w:pPr>
        <w:pStyle w:val="Normal"/>
        <w:jc w:val="both"/>
        <w:rPr>
          <w:sz w:val="24"/>
        </w:rPr>
      </w:pPr>
      <w:r>
        <w:rPr>
          <w:sz w:val="24"/>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jc w:val="both"/>
        <w:rPr>
          <w:sz w:val="24"/>
        </w:rPr>
      </w:pPr>
      <w:r>
        <w:rPr>
          <w:sz w:val="24"/>
        </w:rPr>
        <w:t xml:space="preserve">Mr. LaBoon stated that the first item on the action agenda are two resolutions presented for consideration from the Transportation and Infrastructure Advisory Committee (TIAC).  In the absence of  the TIAC chairman, Mr. Steve Letbetter, Mr. LaBoon called </w:t>
      </w:r>
    </w:p>
    <w:p>
      <w:pPr>
        <w:pStyle w:val="Normal"/>
        <w:jc w:val="both"/>
        <w:rPr>
          <w:sz w:val="24"/>
        </w:rPr>
      </w:pPr>
      <w:r>
        <w:rPr>
          <w:sz w:val="24"/>
        </w:rPr>
        <w:t>on Mr. George Beatty, president of the Chamber of Commerce Division of the Partnership,  to present the resolutions.</w:t>
      </w:r>
    </w:p>
    <w:p>
      <w:pPr>
        <w:pStyle w:val="BodyText2"/>
        <w:rPr>
          <w:sz w:val="24"/>
        </w:rPr>
      </w:pPr>
      <w:r>
        <w:rPr>
          <w:sz w:val="24"/>
        </w:rPr>
      </w:r>
    </w:p>
    <w:p>
      <w:pPr>
        <w:pStyle w:val="Normal"/>
        <w:jc w:val="both"/>
        <w:rPr>
          <w:sz w:val="24"/>
        </w:rPr>
      </w:pPr>
      <w:r>
        <w:rPr>
          <w:sz w:val="24"/>
        </w:rPr>
        <w:t>Mr. Beatty introduced a resolution supporting proposition 15.  The Partnership supports the proposition provided that TxDOT develops a plan to ensure that the Houston region receives funding for transportation projects proportionate to the region’s percentage of the Gross State Product.  The chairman asked for a motion.  A motion was made, seconded and the resolution (attached) to support proposition 15 passed unanimously.</w:t>
      </w:r>
    </w:p>
    <w:p>
      <w:pPr>
        <w:pStyle w:val="Normal"/>
        <w:jc w:val="both"/>
        <w:rPr>
          <w:sz w:val="24"/>
        </w:rPr>
      </w:pPr>
      <w:r>
        <w:rPr>
          <w:sz w:val="24"/>
        </w:rPr>
      </w:r>
    </w:p>
    <w:p>
      <w:pPr>
        <w:pStyle w:val="BodyText2"/>
        <w:rPr/>
      </w:pPr>
      <w:r>
        <w:rPr/>
        <w:t>Mr. Beatty introduced the second resolution which supported the Metropolitan Transit Authority’s request for funding.  The resolution supports maximum federal transit and highway funding for the region. The funds would be used for corridor mode neutral studies and transit improvements in the highly congested areas.  The chairman asked for a motion.  A motion was made, seconded and the resolution (attached) to support Metro’s funding request passed unanimously. The chairman thanked Mr. Beatty for presenting the resolutions.</w:t>
      </w:r>
    </w:p>
    <w:p>
      <w:pPr>
        <w:pStyle w:val="BodyText2"/>
        <w:rPr/>
      </w:pPr>
      <w:r>
        <w:rPr/>
      </w:r>
    </w:p>
    <w:p>
      <w:pPr>
        <w:pStyle w:val="BodyText2"/>
        <w:rPr/>
      </w:pPr>
      <w:r>
        <w:rPr/>
        <w:t>Mr. LaBoon next called on Mr. Kelly Frels, chairman of the Environment Advisory Committee for a report.  Mr. Frels explained that the HR 107, the federal Conservation and Reinvestment Act (CARA) is being considered in Congress. CARA is a piece of legislation aimed at providing federal resources to address environmental priorities including coastal conservation, air quality research and improvements and numerous other aspects. The bill is designed to produce a revenue sharing program with states that are adjacent to federal offshore oil and gas resources.   The Partnership supports the bill as a valuable program to provide resources to the state and coastal communities to address environmental priorities. Further, the program will complement the Quality of Life CARA related resolution the Partnership board adopted in May.  Mr. LaBoon asked for a motion.  A motion was made, seconded and the resolution (attached) to support CARA funding passed unanimously.  The chairman thanked Mr. Frels for presenting the resolution.</w:t>
      </w:r>
    </w:p>
    <w:p>
      <w:pPr>
        <w:pStyle w:val="BodyText2"/>
        <w:rPr/>
      </w:pPr>
      <w:r>
        <w:rPr/>
      </w:r>
    </w:p>
    <w:p>
      <w:pPr>
        <w:pStyle w:val="BodyText2"/>
        <w:rPr/>
      </w:pPr>
      <w:r>
        <w:rPr/>
        <w:t xml:space="preserve">The chairman next called on Mr. Jim Royer, chairman of the nominating committee, for a report.  Mr. Royer began his report by stating that three directors have resigned from the board.  They are:  Mr. Barry Burkholder,  who has retired and moved out of state, Mr. Adan Trevino, who has retired from Channel 45 and has begun another business and Mr. David Welch,  who is being transferred to Canada with BP.  Mr. Royer asked for a motion to accept the three resignations.  A motion was made, seconded and all three resignations were accepted.  </w:t>
      </w:r>
    </w:p>
    <w:p>
      <w:pPr>
        <w:pStyle w:val="BodyText2"/>
        <w:rPr/>
      </w:pPr>
      <w:r>
        <w:rPr/>
      </w:r>
    </w:p>
    <w:p>
      <w:pPr>
        <w:pStyle w:val="BodyText2"/>
        <w:rPr/>
      </w:pPr>
      <w:r>
        <w:rPr/>
        <w:t>Mr. Royer then explained that there are five vacant positions that could be filled now, however the nominating committee would like to hold open these slots for some of the directors whose terms expire at the end of the year.  This would allow them to serve an unfilled one or two year term before reaching their seven year maximum.  Further,  the nominating committee will be recommending a slate of forty candidates for approval at the December board meeting.  Out of that forty, thirteen positions must be filled with new candidates.  He asked that recommendations be sent to Jim Kollaer so the committee could review the candidates at their next meeting.   The chairman thanked Mr. Royer for his report.</w:t>
      </w:r>
    </w:p>
    <w:p>
      <w:pPr>
        <w:pStyle w:val="BodyText2"/>
        <w:rPr/>
      </w:pPr>
      <w:r>
        <w:rPr/>
      </w:r>
    </w:p>
    <w:p>
      <w:pPr>
        <w:pStyle w:val="BodyText2"/>
        <w:tabs>
          <w:tab w:val="clear" w:pos="720"/>
          <w:tab w:val="left" w:pos="3780" w:leader="none"/>
        </w:tabs>
        <w:rPr/>
      </w:pPr>
      <w:r>
        <w:rPr/>
        <w:t xml:space="preserve">Mr. LaBoon reported on the last action item which was consideration of approving the Memorandum of Understanding (MOU) between the Partnership and the Center for Houston’s Future. He explained that both the Partnership and Center chairs,  vice chairs and presidents will serve reciprocal board seats.  It has also been agreed that funding plans are expected to be non-competing. The MOU will be binding and will be continued until such time that it is terminated by both boards.  The Center will raise funds essentially from corporations and foundations and has already been established as a 501 (c)(3).  (The Partnership remains a 501(c)(6).  The two entities have also agreed that  the Partnership will sublease space to the Center, thereby saving office expenses such as rent, supplies and other office equipment.  </w:t>
      </w:r>
    </w:p>
    <w:p>
      <w:pPr>
        <w:pStyle w:val="BodyText"/>
        <w:spacing w:before="240" w:after="0"/>
        <w:jc w:val="both"/>
        <w:rPr/>
      </w:pPr>
      <w:r>
        <w:rPr/>
        <w:t>Further, issues that may be covered by both organizations will be coordinated so as to avoid any overlap and repetitive work.  The Center is expected to focus on more long-range, long-term goals (more than five years), while the Partnership will maintain its current focus as the planning and budget committee deems appropriate each year.</w:t>
      </w:r>
    </w:p>
    <w:p>
      <w:pPr>
        <w:pStyle w:val="Normal"/>
        <w:jc w:val="both"/>
        <w:rPr>
          <w:sz w:val="24"/>
        </w:rPr>
      </w:pPr>
      <w:r>
        <w:rPr>
          <w:sz w:val="24"/>
        </w:rPr>
      </w:r>
    </w:p>
    <w:p>
      <w:pPr>
        <w:pStyle w:val="Normal"/>
        <w:jc w:val="both"/>
        <w:rPr>
          <w:sz w:val="24"/>
        </w:rPr>
      </w:pPr>
      <w:r>
        <w:rPr>
          <w:sz w:val="24"/>
        </w:rPr>
        <w:t>In addition, Mr. LaBoon mentioned that the Partnership’s board had previously examined and agreed to advance $350,000 interest free to the Center.  The Center will present its’ work plan to the Partnership planning and budget committee annually.  The Center will be entering into its fundraising stage shortly and will be headed up by Messrs. Ken Lay, Ned Holmes and Ben Love.  Since the Center is designated as a 501(c)(3), it will also allow them to solicit funds from foundations.</w:t>
      </w:r>
    </w:p>
    <w:p>
      <w:pPr>
        <w:pStyle w:val="Normal"/>
        <w:jc w:val="both"/>
        <w:rPr>
          <w:sz w:val="24"/>
        </w:rPr>
      </w:pPr>
      <w:r>
        <w:rPr>
          <w:sz w:val="24"/>
        </w:rPr>
      </w:r>
    </w:p>
    <w:p>
      <w:pPr>
        <w:pStyle w:val="BodyText2"/>
        <w:rPr/>
      </w:pPr>
      <w:r>
        <w:rPr/>
        <w:t>Mr. LaBoon then asked Mr. Gene Vaughan, presently serving as the Center’s chairman, for any additional comments. Mr. Vaughan commented on the importance of both organizations being good partners.  He also stated that once the MOU is approved by the Center’s board, they plan to widen the circle of leadership.  There is currently a great need for commitments for start up expenses and for workshops.  They will be moving forward with a four year plan.  Mr. Ken Lay added that he hopes the fundraising campaign will be completed by the end of the year. Mr. LaBoon thanked Mr. Vaughan for his comments.</w:t>
      </w:r>
    </w:p>
    <w:p>
      <w:pPr>
        <w:pStyle w:val="BodyText2"/>
        <w:rPr/>
      </w:pPr>
      <w:r>
        <w:rPr/>
      </w:r>
    </w:p>
    <w:p>
      <w:pPr>
        <w:pStyle w:val="BodyText2"/>
        <w:rPr/>
      </w:pPr>
      <w:r>
        <w:rPr/>
        <w:t>Mr. LaBoon next explained that he had been approached by Mr. Karl Rove in Washington to solicit funds for Citizens for Real Energy Solutions (CRES).  This is a program aimed at helping to get the President’s energy plan through Congress and ultimately adopted. Mr. LaBoon stated that if the directors were interested in helping in this endeavor to please contact Jim Kollaer or himself.</w:t>
      </w:r>
    </w:p>
    <w:p>
      <w:pPr>
        <w:pStyle w:val="BodyText2"/>
        <w:rPr/>
      </w:pPr>
      <w:r>
        <w:rPr/>
      </w:r>
    </w:p>
    <w:p>
      <w:pPr>
        <w:pStyle w:val="BodyText2"/>
        <w:rPr/>
      </w:pPr>
      <w:r>
        <w:rPr/>
        <w:t xml:space="preserve">Mr. LaBoon called on Mr. Jim Kollaer, president and CEO of the Partnership, for the President’s Report.  Mr. Kollaer reported that </w:t>
      </w:r>
      <w:r>
        <w:rPr>
          <w:u w:val="single"/>
        </w:rPr>
        <w:t>Fortune Magazine</w:t>
      </w:r>
      <w:r>
        <w:rPr/>
        <w:t xml:space="preserve"> had reported the top one-hundred fastest growing companies. Eight of those companies are located in Houston.</w:t>
      </w:r>
      <w:r>
        <w:rPr>
          <w:rStyle w:val="FootnoteCharacters"/>
          <w:rStyle w:val="FootnoteReference"/>
        </w:rPr>
        <w:footnoteReference w:id="2"/>
      </w:r>
      <w:r>
        <w:rPr/>
        <w:t xml:space="preserve">  Mr. Kollaer also mentioned that Santa Fe had made an announcement regarding the purchase of Global Marine, creating one of the worlds largest offshore drilling contractors.  The new company is expected to be called GlobalSantaFe. He requested that whenever there is a major announcement from a member firm, such as Compaq and Global Marine, whether positive or negative, that the Partnership be sent a copy of any press releases.  This will be a tremendous help when fielding media calls.</w:t>
      </w:r>
    </w:p>
    <w:p>
      <w:pPr>
        <w:pStyle w:val="BodyText2"/>
        <w:rPr/>
      </w:pPr>
      <w:r>
        <w:rPr/>
      </w:r>
    </w:p>
    <w:p>
      <w:pPr>
        <w:pStyle w:val="BodyText2"/>
        <w:rPr/>
      </w:pPr>
      <w:r>
        <w:rPr/>
        <w:t>Mr. Kollaer then gave a brief report on the Partnership’s B</w:t>
      </w:r>
      <w:r>
        <w:rPr>
          <w:vertAlign w:val="subscript"/>
        </w:rPr>
        <w:t>2</w:t>
      </w:r>
      <w:r>
        <w:rPr/>
        <w:t>B/Member</w:t>
      </w:r>
      <w:r>
        <w:rPr>
          <w:vertAlign w:val="subscript"/>
        </w:rPr>
        <w:t>2</w:t>
      </w:r>
      <w:r>
        <w:rPr/>
        <w:t>Member program, stating that over one-hundred, forty three members were offering discounts to other members.  In addition, with regard to the Executive Women’s Partnership program, seventy-five women are currently participating.  He asked for additional candidates to be recommended and their names submitted to Susan Asimakis by September 21.</w:t>
      </w:r>
    </w:p>
    <w:p>
      <w:pPr>
        <w:pStyle w:val="BodyText2"/>
        <w:rPr/>
      </w:pPr>
      <w:r>
        <w:rPr/>
      </w:r>
    </w:p>
    <w:p>
      <w:pPr>
        <w:pStyle w:val="BodyText"/>
        <w:jc w:val="both"/>
        <w:rPr/>
      </w:pPr>
      <w:r>
        <w:rPr/>
        <w:t xml:space="preserve">Mr. LaBoon continued his report by informing the directors of the tentative plans to host a meeting on September 18 with Reverend Jesse Jackson.  He has requested a meeting with energy company CEOs in order to promote his “Wall Street Project”, a part of the “Rainbow Push” organization.  The purpose is to promote inclusion, opportunity and economic growth by encouraging public and private industries to improve hiring and promotion practices, and to place more minorities on their boards. </w:t>
      </w:r>
    </w:p>
    <w:p>
      <w:pPr>
        <w:pStyle w:val="Normal"/>
        <w:jc w:val="both"/>
        <w:rPr>
          <w:sz w:val="24"/>
        </w:rPr>
      </w:pPr>
      <w:r>
        <w:rPr>
          <w:sz w:val="24"/>
        </w:rPr>
      </w:r>
    </w:p>
    <w:p>
      <w:pPr>
        <w:pStyle w:val="BodyText2"/>
        <w:rPr/>
      </w:pPr>
      <w:r>
        <w:rPr/>
        <w:t>The chairman next called on Mr. Chip Carlisle, chairman of the Investor Development Committee, for an update.  Mr. Carlisle reported on the status of the 2002 board campaign and the plans and goals of the membership campaign overall.   Forty-nine percent of the directors have responded and submitted their commitment forms to date.  The goal is to close the board campaign by September 30.  The overall proposed goal for 2002 is a seven percent increase over 2001.   The chairman thanked Mr. Carlisle for his report and stated that while the increase is a challenge, it is quite achievable with the help from the directors.</w:t>
      </w:r>
    </w:p>
    <w:p>
      <w:pPr>
        <w:pStyle w:val="Normal"/>
        <w:jc w:val="both"/>
        <w:rPr>
          <w:sz w:val="24"/>
        </w:rPr>
      </w:pPr>
      <w:r>
        <w:rPr>
          <w:sz w:val="24"/>
        </w:rPr>
      </w:r>
    </w:p>
    <w:p>
      <w:pPr>
        <w:pStyle w:val="Normal"/>
        <w:jc w:val="both"/>
        <w:rPr>
          <w:sz w:val="24"/>
        </w:rPr>
      </w:pPr>
      <w:r>
        <w:rPr>
          <w:sz w:val="24"/>
        </w:rPr>
        <w:t>Mr. LaBoon called on Mr. Charles McMahen, chairman of the Quality of Life Advisory Committee (QLAC), for a report. Mr. McMahen reported that the Texas Parks and Wildlife and similar organizations working in tandem have approached the QLAC to help in the campaign to establish more sate parks near urban areas.  There will be a state bond issue for funding of Sheldon Reservoir and the San Jacinto Monument Park.  Additionally, the County bond issue is targeted for $60 million for partial implementation of the County parks plan.  QLAC continues to work with the Harris County Flood Control to combine the efforts of the five-year flood control plan with the County and City park plans.</w:t>
      </w:r>
    </w:p>
    <w:p>
      <w:pPr>
        <w:pStyle w:val="Normal"/>
        <w:jc w:val="both"/>
        <w:rPr>
          <w:sz w:val="24"/>
        </w:rPr>
      </w:pPr>
      <w:r>
        <w:rPr>
          <w:sz w:val="24"/>
        </w:rPr>
      </w:r>
    </w:p>
    <w:p>
      <w:pPr>
        <w:pStyle w:val="BodyText2"/>
        <w:rPr/>
      </w:pPr>
      <w:r>
        <w:rPr/>
        <w:t>Mr. McMahen also stated that the City bond issue is now approved at $80 million for their park plan and an additional $58 million for the City’s bikeway plan.  To help with all of these efforts with the bond elections and the QLAC agenda, they are also working on a major bayou development plan with the Gulf Coast Institute to prepare a map that will highlight nine of the major bayou systems and provide hike and bike trails on each side of the bayous.   In closing,  Mr. McMahen stated that while this is quite an ambitious plan, part, if not all, can be achieved as long as the agencies involved along with the City and the County continue to work together toward one common cause.  Mr. LaBoon thanked Mr. McMahen for his report.</w:t>
      </w:r>
    </w:p>
    <w:p>
      <w:pPr>
        <w:pStyle w:val="Normal"/>
        <w:jc w:val="both"/>
        <w:rPr>
          <w:sz w:val="24"/>
        </w:rPr>
      </w:pPr>
      <w:r>
        <w:rPr>
          <w:sz w:val="24"/>
        </w:rPr>
      </w:r>
    </w:p>
    <w:p>
      <w:pPr>
        <w:pStyle w:val="Normal"/>
        <w:jc w:val="both"/>
        <w:rPr>
          <w:sz w:val="24"/>
        </w:rPr>
      </w:pPr>
      <w:r>
        <w:rPr>
          <w:sz w:val="24"/>
        </w:rPr>
        <w:t>The chairman called on Mr. Rob Mosbacher, chairman of the Education and Workforce Advisory Committee, for a report.  Mr. Mosbacher stated that the HISD trustees passed a seven cent tax rate increase.  The reaction to the increase has received a fair amount of criticism and he also stated that perhaps the timing of the increase was not the best given the recent re-evaluations of property taxes in Harris County.  In addition, the comment period from the general public was very short and some felt as if it was passed too quickly by the trustees.  However, a large portion of the increase will go to building new schools and be used for filling teacher positions, which has been at a critical low for several years.  Another large amount of the increase will go to the State.</w:t>
      </w:r>
    </w:p>
    <w:p>
      <w:pPr>
        <w:pStyle w:val="Normal"/>
        <w:rPr>
          <w:sz w:val="24"/>
        </w:rPr>
      </w:pPr>
      <w:r>
        <w:rPr>
          <w:sz w:val="24"/>
        </w:rPr>
      </w:r>
    </w:p>
    <w:p>
      <w:pPr>
        <w:pStyle w:val="BodyText2"/>
        <w:rPr/>
      </w:pPr>
      <w:r>
        <w:rPr/>
        <w:t>With regard to the nursing shortage situation, Mr. Mosbacher commented that the Nursing Shortage Act, which was supported by the Partnership</w:t>
      </w:r>
      <w:r>
        <w:rPr>
          <w:rStyle w:val="FootnoteCharacters"/>
          <w:rStyle w:val="FootnoteReference"/>
        </w:rPr>
        <w:footnoteReference w:id="3"/>
      </w:r>
      <w:r>
        <w:rPr/>
        <w:t>, has improved. The Texas Medical Center and various hospitals have agreed to “loan” at least three nursing teachers that hold master degrees to be used in new training programs.  The chairman thanked Mr. Mosbacher for his report.</w:t>
      </w:r>
    </w:p>
    <w:p>
      <w:pPr>
        <w:pStyle w:val="BodyText2"/>
        <w:rPr/>
      </w:pPr>
      <w:r>
        <w:rPr/>
      </w:r>
    </w:p>
    <w:p>
      <w:pPr>
        <w:pStyle w:val="BodyText2"/>
        <w:rPr/>
      </w:pPr>
      <w:r>
        <w:rPr/>
        <w:t>In the absence of Mr. Steve Letbetter, the chairman called on Mr. George Beatty once again for a report from the TIAC.  Mr. Beatty first reported on the successful reception held for the Secretary of Transportation Norman Mineta on August 22.  Secretary Mineta spoke very highly of Houston and also discussed various funding projects for the region.</w:t>
      </w:r>
    </w:p>
    <w:p>
      <w:pPr>
        <w:pStyle w:val="BodyText2"/>
        <w:rPr/>
      </w:pPr>
      <w:r>
        <w:rPr/>
      </w:r>
    </w:p>
    <w:p>
      <w:pPr>
        <w:pStyle w:val="BodyText2"/>
        <w:rPr/>
      </w:pPr>
      <w:r>
        <w:rPr/>
        <w:t>Mr. Beatty then reported that Burlington Northern Santa Fe (BNSF) Railroad was planning to construct a thirteen mile $80 million rail spur which will begin at Highway 3 near Ellington Field and end at the Bayport Terminal Complex. Although BNSF &amp; Union Pacific Southern Pacific (UPSP) Railroad could serve the area adequately there are some environmental concerns due to the fact that the rail would be carrying chemicals produced at the Bayport complex.   An environmental review of the proposed rail line  will be made and during that process opportunities for the public to comment will be provided.  Subject to regulatory approvals, construction is targeted to begin during the first quarter of 2003 and be operational by the second quarter of 2004.</w:t>
      </w:r>
    </w:p>
    <w:p>
      <w:pPr>
        <w:pStyle w:val="BodyText2"/>
        <w:rPr>
          <w:highlight w:val="cyan"/>
        </w:rPr>
      </w:pPr>
      <w:r>
        <w:rPr>
          <w:highlight w:val="cyan"/>
        </w:rPr>
      </w:r>
    </w:p>
    <w:p>
      <w:pPr>
        <w:pStyle w:val="BodyText2"/>
        <w:rPr/>
      </w:pPr>
      <w:r>
        <w:rPr/>
        <w:t>Mr. Jodie Jiles suggested that the Partnership reaffirm</w:t>
      </w:r>
      <w:r>
        <w:rPr>
          <w:rStyle w:val="FootnoteCharacters"/>
          <w:rStyle w:val="FootnoteReference"/>
        </w:rPr>
        <w:footnoteReference w:id="4"/>
      </w:r>
      <w:r>
        <w:rPr/>
        <w:t xml:space="preserve"> its support for freight rail competition in the Houston region.  Mr. LaBoon asked for a motion to that effect.  A motion was made, second and the resolution (attached) passed with one abstention..  </w:t>
      </w:r>
    </w:p>
    <w:p>
      <w:pPr>
        <w:pStyle w:val="BodyText2"/>
        <w:rPr/>
      </w:pPr>
      <w:r>
        <w:rPr/>
      </w:r>
    </w:p>
    <w:p>
      <w:pPr>
        <w:pStyle w:val="BodyText2"/>
        <w:rPr/>
      </w:pPr>
      <w:r>
        <w:rPr/>
        <w:t>In closing, Mr. Beatty stated that when the TRIP 2000 report was completed, the solutions proposed in the report were meant to be used.  To that end, Transtar is launching a multi-media campaign entitled, “Steer it; Clear it”.  This campaign has begun in order to remove minor accidents from freeway lanes which can tie up traffic for hours.  The chairman thanked Mr. Beatty for his report.</w:t>
      </w:r>
    </w:p>
    <w:p>
      <w:pPr>
        <w:pStyle w:val="BodyText2"/>
        <w:rPr/>
      </w:pPr>
      <w:r>
        <w:rPr/>
      </w:r>
    </w:p>
    <w:p>
      <w:pPr>
        <w:pStyle w:val="BodyText2"/>
        <w:rPr/>
      </w:pPr>
      <w:r>
        <w:rPr/>
        <w:t>Mr. LaBoon called on Mr. Kelly Frels, chairman of the Environment Advisory Committee, for an update.  Mr. Frels reported that the “e-Commute luncheon” was very successful with keynote speakers Congressman Tom DeLay and Judge Robert Eckels.  The Partnership is working in concert with program administrators to identify companies in the eight county region who are interested in participating in the EPA sanctioned program.  It is possible that participating firms will receive valuable tax credits.</w:t>
      </w:r>
    </w:p>
    <w:p>
      <w:pPr>
        <w:pStyle w:val="BodyText2"/>
        <w:rPr/>
      </w:pPr>
      <w:r>
        <w:rPr/>
      </w:r>
    </w:p>
    <w:p>
      <w:pPr>
        <w:pStyle w:val="BodyText2"/>
        <w:rPr/>
      </w:pPr>
      <w:r>
        <w:rPr/>
        <w:t>Mr. Frels next reported that in December, 2000, the SIP was adopted with specific commitments to incorporate new science into the analysis. The first component is routine ozone formation.  The second is comprised of features unique to our area, known as “spikes”.  Many of these science enhancements will not be available for the near term but should be submitted with the 2004 mid course review required by the SIP.</w:t>
      </w:r>
    </w:p>
    <w:p>
      <w:pPr>
        <w:pStyle w:val="BodyText2"/>
        <w:rPr/>
      </w:pPr>
      <w:r>
        <w:rPr/>
      </w:r>
    </w:p>
    <w:p>
      <w:pPr>
        <w:pStyle w:val="BodyText2"/>
        <w:rPr/>
      </w:pPr>
      <w:r>
        <w:rPr/>
        <w:t>Mr. Frels next briefly touched on the formal comments submitted to the TNRCC regarding Senate Bill 5.  By submitting these comments, it will allow the region to keep some very costly measures out of the SIP.</w:t>
      </w:r>
    </w:p>
    <w:p>
      <w:pPr>
        <w:pStyle w:val="BodyText2"/>
        <w:rPr/>
      </w:pPr>
      <w:r>
        <w:rPr/>
      </w:r>
    </w:p>
    <w:p>
      <w:pPr>
        <w:pStyle w:val="BodyText2"/>
        <w:rPr/>
      </w:pPr>
      <w:r>
        <w:rPr/>
        <w:t>Mr. Frels reported that the TNRCC along with TxDOT and TTI are launching a public information clean air campaign, much like the BCCA did earlier.  They are attempting to gain the attention of the individual resident as opposed to industry in this case.  It is promoting cleaner air practices and responsible choices statewide and will offer suggestions to the public on ways they can contribute toward cleaning the air.  Mr. LaBoon thanked Mr. Frels for his report and again thanked Mr. Charles Duncan for his remarkable and successful efforts with the BCCA.</w:t>
      </w:r>
    </w:p>
    <w:p>
      <w:pPr>
        <w:pStyle w:val="BodyText2"/>
        <w:rPr/>
      </w:pPr>
      <w:r>
        <w:rPr/>
      </w:r>
    </w:p>
    <w:p>
      <w:pPr>
        <w:pStyle w:val="BodyText2"/>
        <w:rPr/>
      </w:pPr>
      <w:r>
        <w:rPr/>
        <w:t>Mr. LaBoon next called on Mr. Kent Crawford, chairman of the golf tournament.  Mr. Crawford informed the directors that sponsorships are still available and that it is shaping up to be a most successful event.</w:t>
      </w:r>
    </w:p>
    <w:p>
      <w:pPr>
        <w:pStyle w:val="BodyText2"/>
        <w:rPr/>
      </w:pPr>
      <w:r>
        <w:rPr/>
      </w:r>
    </w:p>
    <w:p>
      <w:pPr>
        <w:pStyle w:val="BodyText2"/>
        <w:rPr/>
      </w:pPr>
      <w:r>
        <w:rPr/>
        <w:t>Mr. LaBoon then announced the upcoming luncheon featuring Mr. Jack Blanton hosted by the Center for Houston’s Future.  Next he reminded the director’s of the upcoming October 11 quarterly meeting, this year featuring Mr. Jack Sweeney as keynote speaker who will be celebrating the Houston Chronicle’s one-hundredth anniversary.</w:t>
      </w:r>
    </w:p>
    <w:p>
      <w:pPr>
        <w:pStyle w:val="BodyText2"/>
        <w:rPr/>
      </w:pPr>
      <w:r>
        <w:rPr/>
      </w:r>
    </w:p>
    <w:p>
      <w:pPr>
        <w:pStyle w:val="BodyText2"/>
        <w:rPr/>
      </w:pPr>
      <w:r>
        <w:rPr/>
        <w:t xml:space="preserve">He asked for any other business to come before the board.  Hearing none, he declared the meeting adjourned and invited all to stay for the luncheon and hear Mr. David Berg, chairman of the Houston Area Water Commission. </w:t>
      </w:r>
    </w:p>
    <w:p>
      <w:pPr>
        <w:pStyle w:val="BodyText2"/>
        <w:rPr/>
      </w:pPr>
      <w:r>
        <w:rPr/>
      </w:r>
    </w:p>
    <w:p>
      <w:pPr>
        <w:pStyle w:val="BodyText2"/>
        <w:rPr/>
      </w:pPr>
      <w:r>
        <w:rPr/>
        <w:t>Submitted by,</w:t>
      </w:r>
    </w:p>
    <w:p>
      <w:pPr>
        <w:pStyle w:val="BodyText2"/>
        <w:rPr/>
      </w:pPr>
      <w:r>
        <w:rPr/>
      </w:r>
    </w:p>
    <w:p>
      <w:pPr>
        <w:pStyle w:val="BodyText2"/>
        <w:rPr/>
      </w:pPr>
      <w:r>
        <w:rPr/>
      </w:r>
    </w:p>
    <w:p>
      <w:pPr>
        <w:pStyle w:val="BodyText2"/>
        <w:rPr/>
      </w:pPr>
      <w:r>
        <w:rPr/>
      </w:r>
    </w:p>
    <w:p>
      <w:pPr>
        <w:pStyle w:val="BodyText2"/>
        <w:rPr/>
      </w:pPr>
      <w:r>
        <w:rPr/>
        <w:t>Steven L. Miller</w:t>
      </w:r>
    </w:p>
    <w:p>
      <w:pPr>
        <w:pStyle w:val="BodyText2"/>
        <w:rPr/>
      </w:pPr>
      <w:r>
        <w:rPr/>
        <w:t>Secretary</w:t>
      </w:r>
    </w:p>
    <w:p>
      <w:pPr>
        <w:pStyle w:val="BodyText2"/>
        <w:rPr/>
      </w:pPr>
      <w:r>
        <w:rPr/>
      </w:r>
    </w:p>
    <w:p>
      <w:pPr>
        <w:pStyle w:val="BodyText2"/>
        <w:rPr/>
      </w:pPr>
      <w:r>
        <w:rPr/>
        <w:t>attachments: 5</w:t>
      </w:r>
    </w:p>
    <w:sectPr>
      <w:headerReference w:type="default" r:id="rId2"/>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eight Houston firms named as part of the fastest growing top 100 by </w:t>
      </w:r>
      <w:r>
        <w:rPr>
          <w:u w:val="single"/>
        </w:rPr>
        <w:t>Fortune Magazine</w:t>
      </w:r>
      <w:r>
        <w:rPr/>
        <w:t xml:space="preserve"> are: Integrated Electrical Services, Anadarko, Quanta Services, Enron, Dynegy, Group One Automotive, Apache and Hanover Compressor.</w:t>
      </w:r>
    </w:p>
  </w:footnote>
  <w:footnote w:id="3">
    <w:p>
      <w:pPr>
        <w:pStyle w:val="FootnoteText"/>
        <w:rPr/>
      </w:pPr>
      <w:r>
        <w:rPr>
          <w:rStyle w:val="FootnoteCharacters"/>
        </w:rPr>
        <w:footnoteRef/>
      </w:r>
      <w:r>
        <w:rPr/>
        <w:t xml:space="preserve"> </w:t>
      </w:r>
      <w:r>
        <w:rPr/>
        <w:t>Reference resolution passed by the board on February 6, 2001</w:t>
      </w:r>
    </w:p>
  </w:footnote>
  <w:footnote w:id="4">
    <w:p>
      <w:pPr>
        <w:pStyle w:val="FootnoteText"/>
        <w:rPr/>
      </w:pPr>
      <w:r>
        <w:rPr>
          <w:rStyle w:val="FootnoteCharacters"/>
        </w:rPr>
        <w:footnoteRef/>
      </w:r>
      <w:r>
        <w:rPr/>
        <w:t xml:space="preserve"> </w:t>
      </w:r>
      <w:r>
        <w:rPr/>
        <w:t>Reference resolution passed by the board on March 7,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Board of Directors Meeting</w:t>
    </w:r>
  </w:p>
  <w:p>
    <w:pPr>
      <w:pStyle w:val="Header"/>
      <w:rPr>
        <w:sz w:val="24"/>
      </w:rPr>
    </w:pPr>
    <w:r>
      <w:rPr>
        <w:sz w:val="24"/>
      </w:rPr>
      <w:t>Minutes of September 4, 2001</w:t>
    </w:r>
  </w:p>
  <w:p>
    <w:pPr>
      <w:pStyle w:val="Header"/>
      <w:rPr>
        <w:sz w:val="24"/>
      </w:rPr>
    </w:pPr>
    <w:r>
      <w:rPr>
        <w:sz w:val="24"/>
      </w:rPr>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tabs>
        <w:tab w:val="clear" w:pos="720"/>
        <w:tab w:val="right" w:pos="8550" w:leader="none"/>
      </w:tabs>
      <w:outlineLvl w:val="1"/>
    </w:pPr>
    <w:rPr>
      <w:b/>
      <w:sz w:val="24"/>
    </w:rPr>
  </w:style>
  <w:style w:type="character" w:styleId="WW8Num1z0">
    <w:name w:val="WW8Num1z0"/>
    <w:qFormat/>
    <w:rPr>
      <w:rFonts w:ascii="Symbol" w:hAnsi="Symbol" w:cs="Symbol"/>
    </w:rPr>
  </w:style>
  <w:style w:type="character" w:styleId="WW8Num2z0">
    <w:name w:val="WW8Num2z0"/>
    <w:qFormat/>
    <w:rPr>
      <w:rFonts w:ascii="Wingdings" w:hAnsi="Wingdings" w:cs="Wingdings"/>
      <w:sz w:val="28"/>
    </w:rPr>
  </w:style>
  <w:style w:type="character" w:styleId="WW8Num2z1">
    <w:name w:val="WW8Num2z1"/>
    <w:qFormat/>
    <w:rPr>
      <w:rFonts w:ascii="Symbol" w:hAnsi="Symbol" w:cs="Symbol"/>
    </w:rPr>
  </w:style>
  <w:style w:type="character" w:styleId="WW8Num2z2">
    <w:name w:val="WW8Num2z2"/>
    <w:qFormat/>
    <w:rPr>
      <w:rFonts w:ascii="Times New Roman" w:hAnsi="Times New Roman" w:eastAsia="Times New Roman" w:cs="Times New Roman"/>
    </w:rPr>
  </w:style>
  <w:style w:type="character" w:styleId="WW8Num2z4">
    <w:name w:val="WW8Num2z4"/>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2001-09-27T14:20:00Z</dcterms:created>
  <dc:creator>Arlene McCarty</dc:creator>
  <dc:description/>
  <dc:language>en-CA</dc:language>
  <cp:lastModifiedBy>Arlene McCarty</cp:lastModifiedBy>
  <cp:lastPrinted>2001-09-27T11:48:00Z</cp:lastPrinted>
  <dcterms:modified xsi:type="dcterms:W3CDTF">2001-09-27T14:20:00Z</dcterms:modified>
  <cp:revision>2</cp:revision>
  <dc:subject/>
  <dc:title>Greater Houston Partnership</dc:title>
</cp:coreProperties>
</file>